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287B0" w14:textId="6CC3D741" w:rsidR="00A96223" w:rsidRPr="004A62E7" w:rsidRDefault="009F3FDD" w:rsidP="00AF5C6A">
      <w:pPr>
        <w:spacing w:line="276" w:lineRule="auto"/>
        <w:jc w:val="right"/>
        <w:rPr>
          <w:b/>
          <w:bCs/>
        </w:rPr>
      </w:pPr>
      <w:r w:rsidRPr="009F3FDD">
        <w:rPr>
          <w:b/>
          <w:bCs/>
          <w:highlight w:val="yellow"/>
        </w:rPr>
        <w:t xml:space="preserve">INSERT </w:t>
      </w:r>
      <w:r w:rsidR="00230093" w:rsidRPr="009F3FDD">
        <w:rPr>
          <w:b/>
          <w:bCs/>
          <w:highlight w:val="yellow"/>
        </w:rPr>
        <w:t>YOUR NAME AND ADDRESS HERE</w:t>
      </w:r>
    </w:p>
    <w:p w14:paraId="43A74950" w14:textId="7B1BE005" w:rsidR="00A96223" w:rsidRDefault="009F3FDD" w:rsidP="00AF5C6A">
      <w:pPr>
        <w:spacing w:after="0" w:line="276" w:lineRule="auto"/>
        <w:jc w:val="both"/>
      </w:pPr>
      <w:r>
        <w:t>Date:</w:t>
      </w:r>
      <w:r>
        <w:tab/>
      </w:r>
      <w:r w:rsidR="00D302EB" w:rsidRPr="00D302EB">
        <w:rPr>
          <w:highlight w:val="yellow"/>
        </w:rPr>
        <w:t>INSERT DATE</w:t>
      </w:r>
    </w:p>
    <w:p w14:paraId="1D675F5E" w14:textId="50DB2F5D" w:rsidR="00215972" w:rsidRDefault="00215972" w:rsidP="00AF5C6A">
      <w:pPr>
        <w:spacing w:after="0" w:line="276" w:lineRule="auto"/>
        <w:jc w:val="both"/>
      </w:pPr>
    </w:p>
    <w:p w14:paraId="03B4ECAA" w14:textId="626C8F38" w:rsidR="00C51F7C" w:rsidRDefault="00C51F7C" w:rsidP="00AF5C6A">
      <w:pPr>
        <w:spacing w:after="0" w:line="276" w:lineRule="auto"/>
        <w:jc w:val="both"/>
      </w:pPr>
      <w:r>
        <w:t>Re:</w:t>
      </w:r>
      <w:r w:rsidR="009F3FDD">
        <w:tab/>
      </w:r>
      <w:r w:rsidR="00937398">
        <w:t>European Parliament vote due to take place on 27/28 April 2021 in respect of a r</w:t>
      </w:r>
      <w:r w:rsidR="009F3FDD">
        <w:t xml:space="preserve">egulation for </w:t>
      </w:r>
      <w:r w:rsidR="00937398">
        <w:tab/>
      </w:r>
      <w:r w:rsidR="009F3FDD">
        <w:t xml:space="preserve">the issuance, verification and acceptance of interoperable certificates for vaccination, </w:t>
      </w:r>
      <w:r w:rsidR="00937398">
        <w:tab/>
      </w:r>
      <w:r w:rsidR="009F3FDD">
        <w:t xml:space="preserve">testing and recovery to facilitate free movement during the COVID-19 pandemic </w:t>
      </w:r>
      <w:r w:rsidR="00181668">
        <w:tab/>
      </w:r>
      <w:r w:rsidR="009F3FDD">
        <w:t>(hereinafter referred to as the “</w:t>
      </w:r>
      <w:r w:rsidR="009F3FDD" w:rsidRPr="009F3FDD">
        <w:rPr>
          <w:b/>
          <w:bCs/>
        </w:rPr>
        <w:t>Regulation</w:t>
      </w:r>
      <w:r w:rsidR="009F3FDD">
        <w:t>”)</w:t>
      </w:r>
    </w:p>
    <w:p w14:paraId="2FF46B1A" w14:textId="77777777" w:rsidR="00C51F7C" w:rsidRDefault="00C51F7C" w:rsidP="00AF5C6A">
      <w:pPr>
        <w:spacing w:after="0" w:line="276" w:lineRule="auto"/>
      </w:pPr>
    </w:p>
    <w:p w14:paraId="78C09C28" w14:textId="51AA7380" w:rsidR="00A96223" w:rsidRDefault="00BD565D" w:rsidP="00AF5C6A">
      <w:pPr>
        <w:spacing w:after="0" w:line="276" w:lineRule="auto"/>
      </w:pPr>
      <w:r>
        <w:t>Dear MEP,</w:t>
      </w:r>
    </w:p>
    <w:p w14:paraId="55D23EF1" w14:textId="7DC579CA" w:rsidR="007431CF" w:rsidRDefault="007431CF" w:rsidP="00AF5C6A">
      <w:pPr>
        <w:spacing w:after="0" w:line="276" w:lineRule="auto"/>
        <w:jc w:val="both"/>
      </w:pPr>
    </w:p>
    <w:p w14:paraId="45E93314" w14:textId="79BF48B5" w:rsidR="00181668" w:rsidRDefault="007431CF" w:rsidP="00AF5C6A">
      <w:pPr>
        <w:spacing w:after="0" w:line="276" w:lineRule="auto"/>
        <w:jc w:val="both"/>
        <w:rPr>
          <w:rFonts w:ascii="Calibri" w:eastAsia="Times New Roman" w:hAnsi="Calibri" w:cs="Calibri"/>
          <w:color w:val="000000"/>
          <w:lang w:eastAsia="en-IE"/>
        </w:rPr>
      </w:pPr>
      <w:r w:rsidRPr="007431CF">
        <w:rPr>
          <w:rFonts w:ascii="Calibri" w:eastAsia="Times New Roman" w:hAnsi="Calibri" w:cs="Calibri"/>
          <w:color w:val="000000"/>
          <w:lang w:eastAsia="en-IE"/>
        </w:rPr>
        <w:t xml:space="preserve">On 25 March 2021 you </w:t>
      </w:r>
      <w:r w:rsidR="00181668">
        <w:rPr>
          <w:rFonts w:ascii="Calibri" w:eastAsia="Times New Roman" w:hAnsi="Calibri" w:cs="Calibri"/>
          <w:color w:val="000000"/>
          <w:lang w:eastAsia="en-IE"/>
        </w:rPr>
        <w:t xml:space="preserve">were asked to </w:t>
      </w:r>
      <w:r w:rsidRPr="007431CF">
        <w:rPr>
          <w:rFonts w:ascii="Calibri" w:eastAsia="Times New Roman" w:hAnsi="Calibri" w:cs="Calibri"/>
          <w:color w:val="000000"/>
          <w:lang w:eastAsia="en-IE"/>
        </w:rPr>
        <w:t xml:space="preserve">vote on </w:t>
      </w:r>
      <w:r w:rsidR="00B73F0E">
        <w:rPr>
          <w:rFonts w:ascii="Calibri" w:eastAsia="Times New Roman" w:hAnsi="Calibri" w:cs="Calibri"/>
          <w:color w:val="000000"/>
          <w:lang w:eastAsia="en-IE"/>
        </w:rPr>
        <w:t xml:space="preserve">accelerating the </w:t>
      </w:r>
      <w:r w:rsidRPr="007431CF">
        <w:rPr>
          <w:rFonts w:ascii="Calibri" w:eastAsia="Times New Roman" w:hAnsi="Calibri" w:cs="Calibri"/>
          <w:color w:val="000000"/>
          <w:lang w:eastAsia="en-IE"/>
        </w:rPr>
        <w:t>examination procedure for the Regulation</w:t>
      </w:r>
      <w:r w:rsidR="00181668">
        <w:rPr>
          <w:rFonts w:ascii="Calibri" w:eastAsia="Times New Roman" w:hAnsi="Calibri" w:cs="Calibri"/>
          <w:color w:val="000000"/>
          <w:lang w:eastAsia="en-IE"/>
        </w:rPr>
        <w:t>, in this regard I am aware that the vote concluded as follows:</w:t>
      </w:r>
    </w:p>
    <w:p w14:paraId="772A90AC" w14:textId="77777777" w:rsidR="00B84DD1" w:rsidRDefault="00B84DD1" w:rsidP="00AF5C6A">
      <w:pPr>
        <w:spacing w:after="0" w:line="276" w:lineRule="auto"/>
        <w:jc w:val="both"/>
        <w:rPr>
          <w:rFonts w:ascii="Calibri" w:eastAsia="Times New Roman" w:hAnsi="Calibri" w:cs="Calibri"/>
          <w:color w:val="000000"/>
          <w:lang w:eastAsia="en-IE"/>
        </w:rPr>
      </w:pPr>
    </w:p>
    <w:tbl>
      <w:tblPr>
        <w:tblStyle w:val="TableGrid"/>
        <w:tblW w:w="0" w:type="auto"/>
        <w:tblLook w:val="04A0" w:firstRow="1" w:lastRow="0" w:firstColumn="1" w:lastColumn="0" w:noHBand="0" w:noVBand="1"/>
      </w:tblPr>
      <w:tblGrid>
        <w:gridCol w:w="3091"/>
        <w:gridCol w:w="3050"/>
        <w:gridCol w:w="2875"/>
      </w:tblGrid>
      <w:tr w:rsidR="00B73F0E" w:rsidRPr="00B84DD1" w14:paraId="7F3CC71E" w14:textId="1407B831" w:rsidTr="00B84DD1">
        <w:tc>
          <w:tcPr>
            <w:tcW w:w="3091" w:type="dxa"/>
            <w:shd w:val="clear" w:color="auto" w:fill="BFBFBF" w:themeFill="background1" w:themeFillShade="BF"/>
          </w:tcPr>
          <w:p w14:paraId="3CA286CC" w14:textId="7BE24B30" w:rsidR="00B73F0E" w:rsidRPr="00B84DD1" w:rsidRDefault="00B73F0E" w:rsidP="00AF5C6A">
            <w:pPr>
              <w:spacing w:line="276" w:lineRule="auto"/>
              <w:jc w:val="both"/>
              <w:rPr>
                <w:rFonts w:ascii="Calibri" w:eastAsia="Times New Roman" w:hAnsi="Calibri" w:cs="Calibri"/>
                <w:b/>
                <w:bCs/>
                <w:color w:val="000000"/>
                <w:lang w:eastAsia="en-IE"/>
              </w:rPr>
            </w:pPr>
            <w:r w:rsidRPr="00B84DD1">
              <w:rPr>
                <w:rFonts w:ascii="Calibri" w:eastAsia="Times New Roman" w:hAnsi="Calibri" w:cs="Calibri"/>
                <w:b/>
                <w:bCs/>
                <w:color w:val="000000"/>
                <w:lang w:eastAsia="en-IE"/>
              </w:rPr>
              <w:t>MEP Name</w:t>
            </w:r>
          </w:p>
        </w:tc>
        <w:tc>
          <w:tcPr>
            <w:tcW w:w="3050" w:type="dxa"/>
            <w:shd w:val="clear" w:color="auto" w:fill="BFBFBF" w:themeFill="background1" w:themeFillShade="BF"/>
          </w:tcPr>
          <w:p w14:paraId="421A1FA5" w14:textId="46FAD360" w:rsidR="00B73F0E" w:rsidRPr="00B84DD1" w:rsidRDefault="00B73F0E" w:rsidP="00AF5C6A">
            <w:pPr>
              <w:spacing w:line="276" w:lineRule="auto"/>
              <w:jc w:val="both"/>
              <w:rPr>
                <w:rFonts w:ascii="Calibri" w:eastAsia="Times New Roman" w:hAnsi="Calibri" w:cs="Calibri"/>
                <w:b/>
                <w:bCs/>
                <w:color w:val="000000"/>
                <w:lang w:eastAsia="en-IE"/>
              </w:rPr>
            </w:pPr>
            <w:r w:rsidRPr="00B84DD1">
              <w:rPr>
                <w:rFonts w:ascii="Calibri" w:eastAsia="Times New Roman" w:hAnsi="Calibri" w:cs="Calibri"/>
                <w:b/>
                <w:bCs/>
                <w:color w:val="000000"/>
                <w:lang w:eastAsia="en-IE"/>
              </w:rPr>
              <w:t>Vote</w:t>
            </w:r>
          </w:p>
        </w:tc>
        <w:tc>
          <w:tcPr>
            <w:tcW w:w="2875" w:type="dxa"/>
            <w:shd w:val="clear" w:color="auto" w:fill="BFBFBF" w:themeFill="background1" w:themeFillShade="BF"/>
          </w:tcPr>
          <w:p w14:paraId="0731E348" w14:textId="365C5286" w:rsidR="00B73F0E" w:rsidRPr="00B84DD1" w:rsidRDefault="00B73F0E" w:rsidP="00AF5C6A">
            <w:pPr>
              <w:spacing w:line="276" w:lineRule="auto"/>
              <w:jc w:val="both"/>
              <w:rPr>
                <w:rFonts w:ascii="Calibri" w:eastAsia="Times New Roman" w:hAnsi="Calibri" w:cs="Calibri"/>
                <w:b/>
                <w:bCs/>
                <w:color w:val="000000"/>
                <w:lang w:eastAsia="en-IE"/>
              </w:rPr>
            </w:pPr>
            <w:r w:rsidRPr="00B84DD1">
              <w:rPr>
                <w:rFonts w:ascii="Calibri" w:eastAsia="Times New Roman" w:hAnsi="Calibri" w:cs="Calibri"/>
                <w:b/>
                <w:bCs/>
                <w:color w:val="000000"/>
                <w:lang w:eastAsia="en-IE"/>
              </w:rPr>
              <w:t>Party</w:t>
            </w:r>
          </w:p>
        </w:tc>
      </w:tr>
      <w:tr w:rsidR="00B73F0E" w:rsidRPr="00B84DD1" w14:paraId="0FB71301" w14:textId="1FE8EC78" w:rsidTr="00B73F0E">
        <w:tc>
          <w:tcPr>
            <w:tcW w:w="3091" w:type="dxa"/>
          </w:tcPr>
          <w:p w14:paraId="59AFC35B" w14:textId="3947E6B4" w:rsidR="00B73F0E" w:rsidRPr="00B84DD1" w:rsidRDefault="00B73F0E"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Barry Andrews</w:t>
            </w:r>
          </w:p>
        </w:tc>
        <w:tc>
          <w:tcPr>
            <w:tcW w:w="3050" w:type="dxa"/>
          </w:tcPr>
          <w:p w14:paraId="46E664D5" w14:textId="1CD4C7FD" w:rsidR="00B73F0E" w:rsidRPr="00B84DD1" w:rsidRDefault="00B73F0E"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Voted to ac</w:t>
            </w:r>
            <w:r w:rsidR="00B84DD1" w:rsidRPr="00B84DD1">
              <w:rPr>
                <w:rFonts w:ascii="Calibri" w:eastAsia="Times New Roman" w:hAnsi="Calibri" w:cs="Calibri"/>
                <w:color w:val="000000"/>
                <w:lang w:eastAsia="en-IE"/>
              </w:rPr>
              <w:t>celera</w:t>
            </w:r>
            <w:r w:rsidRPr="00B84DD1">
              <w:rPr>
                <w:rFonts w:ascii="Calibri" w:eastAsia="Times New Roman" w:hAnsi="Calibri" w:cs="Calibri"/>
                <w:color w:val="000000"/>
                <w:lang w:eastAsia="en-IE"/>
              </w:rPr>
              <w:t xml:space="preserve">te </w:t>
            </w:r>
          </w:p>
        </w:tc>
        <w:tc>
          <w:tcPr>
            <w:tcW w:w="2875" w:type="dxa"/>
          </w:tcPr>
          <w:p w14:paraId="45C46A9F" w14:textId="1BA34DA6" w:rsidR="00B73F0E"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Fianna Fail</w:t>
            </w:r>
          </w:p>
        </w:tc>
      </w:tr>
      <w:tr w:rsidR="00B73F0E" w:rsidRPr="00B84DD1" w14:paraId="07DE7905" w14:textId="1B3B23FD" w:rsidTr="00B73F0E">
        <w:tc>
          <w:tcPr>
            <w:tcW w:w="3091" w:type="dxa"/>
          </w:tcPr>
          <w:p w14:paraId="7D60B5BF" w14:textId="485DD48D" w:rsidR="00B73F0E"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Frances Fitzgerald</w:t>
            </w:r>
          </w:p>
        </w:tc>
        <w:tc>
          <w:tcPr>
            <w:tcW w:w="3050" w:type="dxa"/>
          </w:tcPr>
          <w:p w14:paraId="02295CEC" w14:textId="33E00CE0" w:rsidR="00B73F0E"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Voted to accelerate</w:t>
            </w:r>
          </w:p>
        </w:tc>
        <w:tc>
          <w:tcPr>
            <w:tcW w:w="2875" w:type="dxa"/>
          </w:tcPr>
          <w:p w14:paraId="46E06CAA" w14:textId="530BBC13" w:rsidR="00B73F0E"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Fine Gael</w:t>
            </w:r>
          </w:p>
        </w:tc>
      </w:tr>
      <w:tr w:rsidR="00B73F0E" w:rsidRPr="00B84DD1" w14:paraId="559A6EBC" w14:textId="2AB581BD" w:rsidTr="00B73F0E">
        <w:tc>
          <w:tcPr>
            <w:tcW w:w="3091" w:type="dxa"/>
          </w:tcPr>
          <w:p w14:paraId="7CD55988" w14:textId="36B650DD" w:rsidR="00B73F0E"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Colm Markey</w:t>
            </w:r>
          </w:p>
        </w:tc>
        <w:tc>
          <w:tcPr>
            <w:tcW w:w="3050" w:type="dxa"/>
          </w:tcPr>
          <w:p w14:paraId="1FD8A764" w14:textId="24DE5DF9" w:rsidR="00B73F0E"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Voted to accelerate</w:t>
            </w:r>
          </w:p>
        </w:tc>
        <w:tc>
          <w:tcPr>
            <w:tcW w:w="2875" w:type="dxa"/>
          </w:tcPr>
          <w:p w14:paraId="103EEA2F" w14:textId="71A8B257" w:rsidR="00B73F0E"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 xml:space="preserve">Fine Gael </w:t>
            </w:r>
          </w:p>
        </w:tc>
      </w:tr>
      <w:tr w:rsidR="00B73F0E" w:rsidRPr="00B84DD1" w14:paraId="06374790" w14:textId="58AABB3B" w:rsidTr="00B73F0E">
        <w:tc>
          <w:tcPr>
            <w:tcW w:w="3091" w:type="dxa"/>
          </w:tcPr>
          <w:p w14:paraId="2097001C" w14:textId="4C46D146" w:rsidR="00B73F0E"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Maria Walsh</w:t>
            </w:r>
          </w:p>
        </w:tc>
        <w:tc>
          <w:tcPr>
            <w:tcW w:w="3050" w:type="dxa"/>
          </w:tcPr>
          <w:p w14:paraId="5BEBF588" w14:textId="5D12296B" w:rsidR="00B73F0E"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Voted to accelerate</w:t>
            </w:r>
          </w:p>
        </w:tc>
        <w:tc>
          <w:tcPr>
            <w:tcW w:w="2875" w:type="dxa"/>
          </w:tcPr>
          <w:p w14:paraId="28DD9C14" w14:textId="2892EF4B" w:rsidR="00B73F0E"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Fine Gael</w:t>
            </w:r>
          </w:p>
        </w:tc>
      </w:tr>
      <w:tr w:rsidR="00B73F0E" w:rsidRPr="00B84DD1" w14:paraId="2A42EF73" w14:textId="58B97658" w:rsidTr="00B73F0E">
        <w:tc>
          <w:tcPr>
            <w:tcW w:w="3091" w:type="dxa"/>
          </w:tcPr>
          <w:p w14:paraId="11C11B09" w14:textId="1B4005A4" w:rsidR="00B73F0E"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Deirdre Clune</w:t>
            </w:r>
          </w:p>
        </w:tc>
        <w:tc>
          <w:tcPr>
            <w:tcW w:w="3050" w:type="dxa"/>
          </w:tcPr>
          <w:p w14:paraId="3836D2D4" w14:textId="71856D89" w:rsidR="00B73F0E"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Voted to accelerate</w:t>
            </w:r>
          </w:p>
        </w:tc>
        <w:tc>
          <w:tcPr>
            <w:tcW w:w="2875" w:type="dxa"/>
          </w:tcPr>
          <w:p w14:paraId="5DFDE7F5" w14:textId="23A02DDF" w:rsidR="00B73F0E"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 xml:space="preserve">Fine Gael </w:t>
            </w:r>
          </w:p>
        </w:tc>
      </w:tr>
      <w:tr w:rsidR="00B73F0E" w:rsidRPr="00B84DD1" w14:paraId="422371B9" w14:textId="70B8819C" w:rsidTr="00B73F0E">
        <w:tc>
          <w:tcPr>
            <w:tcW w:w="3091" w:type="dxa"/>
          </w:tcPr>
          <w:p w14:paraId="64E8DFD9" w14:textId="0BED4208" w:rsidR="00B73F0E"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Billy Kelleher</w:t>
            </w:r>
          </w:p>
        </w:tc>
        <w:tc>
          <w:tcPr>
            <w:tcW w:w="3050" w:type="dxa"/>
          </w:tcPr>
          <w:p w14:paraId="54E07633" w14:textId="11AB659E" w:rsidR="00B73F0E"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Voted to accelerate</w:t>
            </w:r>
          </w:p>
        </w:tc>
        <w:tc>
          <w:tcPr>
            <w:tcW w:w="2875" w:type="dxa"/>
          </w:tcPr>
          <w:p w14:paraId="7151352E" w14:textId="7FDB1AE3" w:rsidR="00B73F0E"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Fianna Fail</w:t>
            </w:r>
          </w:p>
        </w:tc>
      </w:tr>
      <w:tr w:rsidR="00B73F0E" w:rsidRPr="00B84DD1" w14:paraId="7676C339" w14:textId="53721B1F" w:rsidTr="00B73F0E">
        <w:tc>
          <w:tcPr>
            <w:tcW w:w="3091" w:type="dxa"/>
          </w:tcPr>
          <w:p w14:paraId="64CE8EF6" w14:textId="3F5D7462" w:rsidR="00B73F0E"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Sean Kelly</w:t>
            </w:r>
          </w:p>
        </w:tc>
        <w:tc>
          <w:tcPr>
            <w:tcW w:w="3050" w:type="dxa"/>
          </w:tcPr>
          <w:p w14:paraId="634F5B84" w14:textId="1E4A874B" w:rsidR="00B73F0E"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Voted to accelerate</w:t>
            </w:r>
          </w:p>
        </w:tc>
        <w:tc>
          <w:tcPr>
            <w:tcW w:w="2875" w:type="dxa"/>
          </w:tcPr>
          <w:p w14:paraId="5B876660" w14:textId="23CDFAC5" w:rsidR="00B73F0E"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Fine Gael</w:t>
            </w:r>
          </w:p>
        </w:tc>
      </w:tr>
    </w:tbl>
    <w:p w14:paraId="66839512" w14:textId="445D6137" w:rsidR="00181668" w:rsidRPr="00B84DD1" w:rsidRDefault="00181668" w:rsidP="00AF5C6A">
      <w:pPr>
        <w:spacing w:after="0" w:line="276" w:lineRule="auto"/>
        <w:jc w:val="both"/>
        <w:rPr>
          <w:rFonts w:ascii="Calibri" w:eastAsia="Times New Roman" w:hAnsi="Calibri" w:cs="Calibri"/>
          <w:color w:val="000000"/>
          <w:lang w:eastAsia="en-IE"/>
        </w:rPr>
      </w:pPr>
    </w:p>
    <w:tbl>
      <w:tblPr>
        <w:tblStyle w:val="TableGrid"/>
        <w:tblW w:w="0" w:type="auto"/>
        <w:tblLook w:val="04A0" w:firstRow="1" w:lastRow="0" w:firstColumn="1" w:lastColumn="0" w:noHBand="0" w:noVBand="1"/>
      </w:tblPr>
      <w:tblGrid>
        <w:gridCol w:w="3091"/>
        <w:gridCol w:w="3050"/>
        <w:gridCol w:w="2875"/>
      </w:tblGrid>
      <w:tr w:rsidR="00B84DD1" w:rsidRPr="00B84DD1" w14:paraId="470C149F" w14:textId="77777777" w:rsidTr="003664F7">
        <w:tc>
          <w:tcPr>
            <w:tcW w:w="3091" w:type="dxa"/>
          </w:tcPr>
          <w:p w14:paraId="53EBBBCB" w14:textId="77777777" w:rsidR="00B84DD1"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Ciaran Cuffe</w:t>
            </w:r>
          </w:p>
        </w:tc>
        <w:tc>
          <w:tcPr>
            <w:tcW w:w="3050" w:type="dxa"/>
          </w:tcPr>
          <w:p w14:paraId="15903CD5" w14:textId="77777777" w:rsidR="00B84DD1"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 xml:space="preserve">Voted against acceleration </w:t>
            </w:r>
          </w:p>
        </w:tc>
        <w:tc>
          <w:tcPr>
            <w:tcW w:w="2875" w:type="dxa"/>
          </w:tcPr>
          <w:p w14:paraId="597A61F0" w14:textId="77777777" w:rsidR="00B84DD1"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 xml:space="preserve">Green </w:t>
            </w:r>
          </w:p>
        </w:tc>
      </w:tr>
      <w:tr w:rsidR="00B84DD1" w:rsidRPr="00B84DD1" w14:paraId="2E7A9BE3" w14:textId="77777777" w:rsidTr="003664F7">
        <w:tc>
          <w:tcPr>
            <w:tcW w:w="3091" w:type="dxa"/>
          </w:tcPr>
          <w:p w14:paraId="357FE8D6" w14:textId="77777777" w:rsidR="00B84DD1"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Clare Daly</w:t>
            </w:r>
          </w:p>
        </w:tc>
        <w:tc>
          <w:tcPr>
            <w:tcW w:w="3050" w:type="dxa"/>
          </w:tcPr>
          <w:p w14:paraId="071421C1" w14:textId="77777777" w:rsidR="00B84DD1"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 xml:space="preserve">Voted against acceleration </w:t>
            </w:r>
          </w:p>
        </w:tc>
        <w:tc>
          <w:tcPr>
            <w:tcW w:w="2875" w:type="dxa"/>
          </w:tcPr>
          <w:p w14:paraId="2A5F8B95" w14:textId="77777777" w:rsidR="00B84DD1"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Independents 4 Change</w:t>
            </w:r>
          </w:p>
        </w:tc>
      </w:tr>
      <w:tr w:rsidR="00B84DD1" w:rsidRPr="00B84DD1" w14:paraId="61D37D09" w14:textId="77777777" w:rsidTr="003664F7">
        <w:tc>
          <w:tcPr>
            <w:tcW w:w="3091" w:type="dxa"/>
          </w:tcPr>
          <w:p w14:paraId="30BB1541" w14:textId="77777777" w:rsidR="00B84DD1"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Luke Ming Flanagan</w:t>
            </w:r>
          </w:p>
        </w:tc>
        <w:tc>
          <w:tcPr>
            <w:tcW w:w="3050" w:type="dxa"/>
          </w:tcPr>
          <w:p w14:paraId="142B2486" w14:textId="77777777" w:rsidR="00B84DD1"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 xml:space="preserve">Voted against acceleration </w:t>
            </w:r>
          </w:p>
        </w:tc>
        <w:tc>
          <w:tcPr>
            <w:tcW w:w="2875" w:type="dxa"/>
          </w:tcPr>
          <w:p w14:paraId="5624EE36" w14:textId="77777777" w:rsidR="00B84DD1"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 xml:space="preserve">Independent </w:t>
            </w:r>
          </w:p>
        </w:tc>
      </w:tr>
      <w:tr w:rsidR="00B84DD1" w:rsidRPr="00B84DD1" w14:paraId="229E227D" w14:textId="77777777" w:rsidTr="003664F7">
        <w:tc>
          <w:tcPr>
            <w:tcW w:w="3091" w:type="dxa"/>
          </w:tcPr>
          <w:p w14:paraId="09709FEF" w14:textId="77777777" w:rsidR="00B84DD1"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Chris MacManus</w:t>
            </w:r>
          </w:p>
        </w:tc>
        <w:tc>
          <w:tcPr>
            <w:tcW w:w="3050" w:type="dxa"/>
          </w:tcPr>
          <w:p w14:paraId="40B44940" w14:textId="77777777" w:rsidR="00B84DD1"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Voted against acceleration</w:t>
            </w:r>
          </w:p>
        </w:tc>
        <w:tc>
          <w:tcPr>
            <w:tcW w:w="2875" w:type="dxa"/>
          </w:tcPr>
          <w:p w14:paraId="5F6AE348" w14:textId="77777777" w:rsidR="00B84DD1"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Sinn Fein</w:t>
            </w:r>
          </w:p>
        </w:tc>
      </w:tr>
      <w:tr w:rsidR="00B84DD1" w:rsidRPr="00B84DD1" w14:paraId="5E7912C8" w14:textId="77777777" w:rsidTr="003664F7">
        <w:tc>
          <w:tcPr>
            <w:tcW w:w="3091" w:type="dxa"/>
          </w:tcPr>
          <w:p w14:paraId="279DED61" w14:textId="77777777" w:rsidR="00B84DD1"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 xml:space="preserve">Grace O’ Sullivan </w:t>
            </w:r>
          </w:p>
        </w:tc>
        <w:tc>
          <w:tcPr>
            <w:tcW w:w="3050" w:type="dxa"/>
          </w:tcPr>
          <w:p w14:paraId="70A85F27" w14:textId="77777777" w:rsidR="00B84DD1"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 xml:space="preserve">Voted against acceleration </w:t>
            </w:r>
          </w:p>
        </w:tc>
        <w:tc>
          <w:tcPr>
            <w:tcW w:w="2875" w:type="dxa"/>
          </w:tcPr>
          <w:p w14:paraId="06574EDC" w14:textId="77777777" w:rsidR="00B84DD1"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Green</w:t>
            </w:r>
          </w:p>
        </w:tc>
      </w:tr>
      <w:tr w:rsidR="00B84DD1" w:rsidRPr="00B84DD1" w14:paraId="6231AA94" w14:textId="77777777" w:rsidTr="003664F7">
        <w:tc>
          <w:tcPr>
            <w:tcW w:w="3091" w:type="dxa"/>
          </w:tcPr>
          <w:p w14:paraId="65D259B9" w14:textId="77777777" w:rsidR="00B84DD1"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Mick Wallace</w:t>
            </w:r>
          </w:p>
        </w:tc>
        <w:tc>
          <w:tcPr>
            <w:tcW w:w="3050" w:type="dxa"/>
          </w:tcPr>
          <w:p w14:paraId="51C8EA98" w14:textId="77777777" w:rsidR="00B84DD1"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 xml:space="preserve">Voted against acceleration </w:t>
            </w:r>
          </w:p>
        </w:tc>
        <w:tc>
          <w:tcPr>
            <w:tcW w:w="2875" w:type="dxa"/>
          </w:tcPr>
          <w:p w14:paraId="23DCA1A3" w14:textId="77777777" w:rsidR="00B84DD1" w:rsidRPr="00B84DD1" w:rsidRDefault="00B84DD1" w:rsidP="00AF5C6A">
            <w:pPr>
              <w:spacing w:line="276" w:lineRule="auto"/>
              <w:jc w:val="both"/>
              <w:rPr>
                <w:rFonts w:ascii="Calibri" w:eastAsia="Times New Roman" w:hAnsi="Calibri" w:cs="Calibri"/>
                <w:color w:val="000000"/>
                <w:lang w:eastAsia="en-IE"/>
              </w:rPr>
            </w:pPr>
            <w:r w:rsidRPr="00B84DD1">
              <w:rPr>
                <w:rFonts w:ascii="Calibri" w:eastAsia="Times New Roman" w:hAnsi="Calibri" w:cs="Calibri"/>
                <w:color w:val="000000"/>
                <w:lang w:eastAsia="en-IE"/>
              </w:rPr>
              <w:t>Independents 4 Change</w:t>
            </w:r>
          </w:p>
        </w:tc>
      </w:tr>
    </w:tbl>
    <w:p w14:paraId="5EFB73FF" w14:textId="77777777" w:rsidR="007431CF" w:rsidRPr="007431CF" w:rsidRDefault="007431CF" w:rsidP="00AF5C6A">
      <w:pPr>
        <w:spacing w:after="0" w:line="276" w:lineRule="auto"/>
        <w:rPr>
          <w:rFonts w:ascii="Times New Roman" w:eastAsia="Times New Roman" w:hAnsi="Times New Roman" w:cs="Times New Roman"/>
          <w:sz w:val="24"/>
          <w:szCs w:val="24"/>
          <w:lang w:eastAsia="en-IE"/>
        </w:rPr>
      </w:pPr>
    </w:p>
    <w:p w14:paraId="4B24AF09" w14:textId="66C341F3" w:rsidR="006D2A16" w:rsidRDefault="000319CB" w:rsidP="00AF5C6A">
      <w:p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 xml:space="preserve">In </w:t>
      </w:r>
      <w:r w:rsidR="006D2A16">
        <w:rPr>
          <w:rFonts w:ascii="Calibri" w:eastAsia="Times New Roman" w:hAnsi="Calibri" w:cs="Calibri"/>
          <w:color w:val="000000"/>
          <w:lang w:eastAsia="en-IE"/>
        </w:rPr>
        <w:t xml:space="preserve">circumstances where </w:t>
      </w:r>
      <w:r w:rsidR="007431CF" w:rsidRPr="007431CF">
        <w:rPr>
          <w:rFonts w:ascii="Calibri" w:eastAsia="Times New Roman" w:hAnsi="Calibri" w:cs="Calibri"/>
          <w:color w:val="000000"/>
          <w:lang w:eastAsia="en-IE"/>
        </w:rPr>
        <w:t>the Regulation is without doubt the most dangerous precedent around liberty and freedom of movement since the inception of the Irish free state</w:t>
      </w:r>
      <w:r w:rsidR="006D2A16">
        <w:rPr>
          <w:rFonts w:ascii="Calibri" w:eastAsia="Times New Roman" w:hAnsi="Calibri" w:cs="Calibri"/>
          <w:color w:val="000000"/>
          <w:lang w:eastAsia="en-IE"/>
        </w:rPr>
        <w:t>, it is extremely worrisome that all Fine Gael and Fianna Fail Members of Parliament sought fit to vote to accelerate the examination procedure</w:t>
      </w:r>
      <w:r w:rsidR="00937398">
        <w:rPr>
          <w:rFonts w:ascii="Calibri" w:eastAsia="Times New Roman" w:hAnsi="Calibri" w:cs="Calibri"/>
          <w:color w:val="000000"/>
          <w:lang w:eastAsia="en-IE"/>
        </w:rPr>
        <w:t xml:space="preserve"> around this </w:t>
      </w:r>
      <w:r w:rsidR="001315B5">
        <w:rPr>
          <w:rFonts w:ascii="Calibri" w:eastAsia="Times New Roman" w:hAnsi="Calibri" w:cs="Calibri"/>
          <w:color w:val="000000"/>
          <w:lang w:eastAsia="en-IE"/>
        </w:rPr>
        <w:t>R</w:t>
      </w:r>
      <w:r w:rsidR="00937398">
        <w:rPr>
          <w:rFonts w:ascii="Calibri" w:eastAsia="Times New Roman" w:hAnsi="Calibri" w:cs="Calibri"/>
          <w:color w:val="000000"/>
          <w:lang w:eastAsia="en-IE"/>
        </w:rPr>
        <w:t>egulation.</w:t>
      </w:r>
    </w:p>
    <w:p w14:paraId="6BC602AF" w14:textId="77777777" w:rsidR="00AF5C6A" w:rsidRDefault="00AF5C6A" w:rsidP="00AF5C6A">
      <w:pPr>
        <w:spacing w:after="0" w:line="276" w:lineRule="auto"/>
        <w:jc w:val="both"/>
        <w:rPr>
          <w:rFonts w:ascii="Calibri" w:eastAsia="Times New Roman" w:hAnsi="Calibri" w:cs="Calibri"/>
          <w:color w:val="000000"/>
          <w:lang w:eastAsia="en-IE"/>
        </w:rPr>
      </w:pPr>
    </w:p>
    <w:p w14:paraId="435286BD" w14:textId="25E0D1E2" w:rsidR="00937398" w:rsidRDefault="007431CF" w:rsidP="00AF5C6A">
      <w:pPr>
        <w:spacing w:after="0" w:line="276" w:lineRule="auto"/>
        <w:jc w:val="both"/>
        <w:rPr>
          <w:rFonts w:ascii="Calibri" w:eastAsia="Times New Roman" w:hAnsi="Calibri" w:cs="Calibri"/>
          <w:color w:val="000000"/>
          <w:lang w:eastAsia="en-IE"/>
        </w:rPr>
      </w:pPr>
      <w:r w:rsidRPr="007431CF">
        <w:rPr>
          <w:rFonts w:ascii="Calibri" w:eastAsia="Times New Roman" w:hAnsi="Calibri" w:cs="Calibri"/>
          <w:color w:val="000000"/>
          <w:lang w:eastAsia="en-IE"/>
        </w:rPr>
        <w:t xml:space="preserve">I </w:t>
      </w:r>
      <w:r w:rsidR="00163F5C">
        <w:rPr>
          <w:rFonts w:ascii="Calibri" w:eastAsia="Times New Roman" w:hAnsi="Calibri" w:cs="Calibri"/>
          <w:color w:val="000000"/>
          <w:lang w:eastAsia="en-IE"/>
        </w:rPr>
        <w:t xml:space="preserve">previously advised you that I </w:t>
      </w:r>
      <w:r w:rsidRPr="007431CF">
        <w:rPr>
          <w:rFonts w:ascii="Calibri" w:eastAsia="Times New Roman" w:hAnsi="Calibri" w:cs="Calibri"/>
          <w:color w:val="000000"/>
          <w:lang w:eastAsia="en-IE"/>
        </w:rPr>
        <w:t>consider</w:t>
      </w:r>
      <w:r w:rsidR="00163F5C">
        <w:rPr>
          <w:rFonts w:ascii="Calibri" w:eastAsia="Times New Roman" w:hAnsi="Calibri" w:cs="Calibri"/>
          <w:color w:val="000000"/>
          <w:lang w:eastAsia="en-IE"/>
        </w:rPr>
        <w:t>ed</w:t>
      </w:r>
      <w:r w:rsidRPr="007431CF">
        <w:rPr>
          <w:rFonts w:ascii="Calibri" w:eastAsia="Times New Roman" w:hAnsi="Calibri" w:cs="Calibri"/>
          <w:color w:val="000000"/>
          <w:lang w:eastAsia="en-IE"/>
        </w:rPr>
        <w:t xml:space="preserve"> your vote as to whether you w</w:t>
      </w:r>
      <w:r w:rsidR="00163F5C">
        <w:rPr>
          <w:rFonts w:ascii="Calibri" w:eastAsia="Times New Roman" w:hAnsi="Calibri" w:cs="Calibri"/>
          <w:color w:val="000000"/>
          <w:lang w:eastAsia="en-IE"/>
        </w:rPr>
        <w:t>ould</w:t>
      </w:r>
      <w:r w:rsidRPr="007431CF">
        <w:rPr>
          <w:rFonts w:ascii="Calibri" w:eastAsia="Times New Roman" w:hAnsi="Calibri" w:cs="Calibri"/>
          <w:color w:val="000000"/>
          <w:lang w:eastAsia="en-IE"/>
        </w:rPr>
        <w:t xml:space="preserve"> agree to a fast-track review of this </w:t>
      </w:r>
      <w:r w:rsidR="001315B5">
        <w:rPr>
          <w:rFonts w:ascii="Calibri" w:eastAsia="Times New Roman" w:hAnsi="Calibri" w:cs="Calibri"/>
          <w:color w:val="000000"/>
          <w:lang w:eastAsia="en-IE"/>
        </w:rPr>
        <w:t>R</w:t>
      </w:r>
      <w:r w:rsidRPr="007431CF">
        <w:rPr>
          <w:rFonts w:ascii="Calibri" w:eastAsia="Times New Roman" w:hAnsi="Calibri" w:cs="Calibri"/>
          <w:color w:val="000000"/>
          <w:lang w:eastAsia="en-IE"/>
        </w:rPr>
        <w:t>egulation to be one of the most defining decisions you w</w:t>
      </w:r>
      <w:r w:rsidR="00163F5C">
        <w:rPr>
          <w:rFonts w:ascii="Calibri" w:eastAsia="Times New Roman" w:hAnsi="Calibri" w:cs="Calibri"/>
          <w:color w:val="000000"/>
          <w:lang w:eastAsia="en-IE"/>
        </w:rPr>
        <w:t>ould</w:t>
      </w:r>
      <w:r w:rsidRPr="007431CF">
        <w:rPr>
          <w:rFonts w:ascii="Calibri" w:eastAsia="Times New Roman" w:hAnsi="Calibri" w:cs="Calibri"/>
          <w:color w:val="000000"/>
          <w:lang w:eastAsia="en-IE"/>
        </w:rPr>
        <w:t xml:space="preserve"> make during your tenure as an Irish Representative within the European Parliament. </w:t>
      </w:r>
      <w:r w:rsidR="00937398">
        <w:rPr>
          <w:rFonts w:ascii="Calibri" w:eastAsia="Times New Roman" w:hAnsi="Calibri" w:cs="Calibri"/>
          <w:color w:val="000000"/>
          <w:lang w:eastAsia="en-IE"/>
        </w:rPr>
        <w:t>I continue to hold this position.</w:t>
      </w:r>
    </w:p>
    <w:p w14:paraId="502C098A" w14:textId="77777777" w:rsidR="00937398" w:rsidRDefault="00937398" w:rsidP="00AF5C6A">
      <w:pPr>
        <w:spacing w:after="0" w:line="276" w:lineRule="auto"/>
        <w:jc w:val="both"/>
        <w:rPr>
          <w:rFonts w:ascii="Calibri" w:eastAsia="Times New Roman" w:hAnsi="Calibri" w:cs="Calibri"/>
          <w:color w:val="000000"/>
          <w:lang w:eastAsia="en-IE"/>
        </w:rPr>
      </w:pPr>
    </w:p>
    <w:p w14:paraId="072D4505" w14:textId="2661D3A2" w:rsidR="007431CF" w:rsidRDefault="00937398" w:rsidP="00AF5C6A">
      <w:p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 xml:space="preserve">I understand that the vote to pass or otherwise the Regulation </w:t>
      </w:r>
      <w:r w:rsidR="00E765ED">
        <w:rPr>
          <w:rFonts w:ascii="Calibri" w:eastAsia="Times New Roman" w:hAnsi="Calibri" w:cs="Calibri"/>
          <w:color w:val="000000"/>
          <w:lang w:eastAsia="en-IE"/>
        </w:rPr>
        <w:t xml:space="preserve">has now been scheduled for </w:t>
      </w:r>
      <w:r>
        <w:rPr>
          <w:rFonts w:ascii="Calibri" w:eastAsia="Times New Roman" w:hAnsi="Calibri" w:cs="Calibri"/>
          <w:color w:val="000000"/>
          <w:lang w:eastAsia="en-IE"/>
        </w:rPr>
        <w:t xml:space="preserve">27/28 April 2021. </w:t>
      </w:r>
      <w:r w:rsidR="00163F5C">
        <w:rPr>
          <w:rFonts w:ascii="Calibri" w:eastAsia="Times New Roman" w:hAnsi="Calibri" w:cs="Calibri"/>
          <w:color w:val="000000"/>
          <w:lang w:eastAsia="en-IE"/>
        </w:rPr>
        <w:t xml:space="preserve">Having considered the </w:t>
      </w:r>
      <w:r w:rsidR="001315B5">
        <w:rPr>
          <w:rFonts w:ascii="Calibri" w:eastAsia="Times New Roman" w:hAnsi="Calibri" w:cs="Calibri"/>
          <w:color w:val="000000"/>
          <w:lang w:eastAsia="en-IE"/>
        </w:rPr>
        <w:t>R</w:t>
      </w:r>
      <w:r w:rsidR="00163F5C">
        <w:rPr>
          <w:rFonts w:ascii="Calibri" w:eastAsia="Times New Roman" w:hAnsi="Calibri" w:cs="Calibri"/>
          <w:color w:val="000000"/>
          <w:lang w:eastAsia="en-IE"/>
        </w:rPr>
        <w:t xml:space="preserve">egulation in detail, I </w:t>
      </w:r>
      <w:r>
        <w:rPr>
          <w:rFonts w:ascii="Calibri" w:eastAsia="Times New Roman" w:hAnsi="Calibri" w:cs="Calibri"/>
          <w:color w:val="000000"/>
          <w:lang w:eastAsia="en-IE"/>
        </w:rPr>
        <w:t xml:space="preserve">urge you to </w:t>
      </w:r>
      <w:r w:rsidRPr="00937398">
        <w:rPr>
          <w:rFonts w:ascii="Calibri" w:eastAsia="Times New Roman" w:hAnsi="Calibri" w:cs="Calibri"/>
          <w:b/>
          <w:bCs/>
          <w:color w:val="000000"/>
          <w:u w:val="single"/>
          <w:lang w:eastAsia="en-IE"/>
        </w:rPr>
        <w:t>VOTE NO</w:t>
      </w:r>
      <w:r>
        <w:rPr>
          <w:rFonts w:ascii="Calibri" w:eastAsia="Times New Roman" w:hAnsi="Calibri" w:cs="Calibri"/>
          <w:color w:val="000000"/>
          <w:lang w:eastAsia="en-IE"/>
        </w:rPr>
        <w:t xml:space="preserve"> to this </w:t>
      </w:r>
      <w:r w:rsidR="001315B5">
        <w:rPr>
          <w:rFonts w:ascii="Calibri" w:eastAsia="Times New Roman" w:hAnsi="Calibri" w:cs="Calibri"/>
          <w:color w:val="000000"/>
          <w:lang w:eastAsia="en-IE"/>
        </w:rPr>
        <w:t>R</w:t>
      </w:r>
      <w:r>
        <w:rPr>
          <w:rFonts w:ascii="Calibri" w:eastAsia="Times New Roman" w:hAnsi="Calibri" w:cs="Calibri"/>
          <w:color w:val="000000"/>
          <w:lang w:eastAsia="en-IE"/>
        </w:rPr>
        <w:t>egulation</w:t>
      </w:r>
      <w:r w:rsidR="00E765ED">
        <w:rPr>
          <w:rFonts w:ascii="Calibri" w:eastAsia="Times New Roman" w:hAnsi="Calibri" w:cs="Calibri"/>
          <w:color w:val="000000"/>
          <w:lang w:eastAsia="en-IE"/>
        </w:rPr>
        <w:t xml:space="preserve"> for reasons which include the following:</w:t>
      </w:r>
    </w:p>
    <w:p w14:paraId="1200C299" w14:textId="42362BC4" w:rsidR="00AF5C6A" w:rsidRDefault="00AF5C6A" w:rsidP="00AF5C6A">
      <w:pPr>
        <w:spacing w:after="0" w:line="276" w:lineRule="auto"/>
        <w:jc w:val="both"/>
        <w:rPr>
          <w:rFonts w:ascii="Calibri" w:eastAsia="Times New Roman" w:hAnsi="Calibri" w:cs="Calibri"/>
          <w:color w:val="000000"/>
          <w:lang w:eastAsia="en-IE"/>
        </w:rPr>
      </w:pPr>
    </w:p>
    <w:p w14:paraId="3339E348" w14:textId="77777777" w:rsidR="00AF5C6A" w:rsidRDefault="00AF5C6A" w:rsidP="00AF5C6A">
      <w:pPr>
        <w:spacing w:after="0" w:line="276" w:lineRule="auto"/>
        <w:jc w:val="both"/>
        <w:rPr>
          <w:rFonts w:ascii="Calibri" w:eastAsia="Times New Roman" w:hAnsi="Calibri" w:cs="Calibri"/>
          <w:color w:val="000000"/>
          <w:lang w:eastAsia="en-IE"/>
        </w:rPr>
      </w:pPr>
    </w:p>
    <w:p w14:paraId="340643C1" w14:textId="77777777" w:rsidR="001315B5" w:rsidRPr="001315B5" w:rsidRDefault="001315B5" w:rsidP="00AF5C6A">
      <w:pPr>
        <w:spacing w:after="0" w:line="276" w:lineRule="auto"/>
        <w:jc w:val="both"/>
        <w:rPr>
          <w:rFonts w:cstheme="minorHAnsi"/>
          <w:b/>
          <w:bCs/>
          <w:i/>
          <w:lang w:val="en-GB"/>
        </w:rPr>
      </w:pPr>
    </w:p>
    <w:p w14:paraId="48721D25" w14:textId="5A458776" w:rsidR="00E765ED" w:rsidRDefault="001315B5" w:rsidP="00AF5C6A">
      <w:pPr>
        <w:spacing w:after="0" w:line="276" w:lineRule="auto"/>
        <w:jc w:val="center"/>
        <w:rPr>
          <w:rFonts w:cstheme="minorHAnsi"/>
          <w:b/>
          <w:bCs/>
          <w:i/>
          <w:u w:val="single"/>
          <w:lang w:val="en-GB"/>
        </w:rPr>
      </w:pPr>
      <w:r w:rsidRPr="00937398">
        <w:rPr>
          <w:rFonts w:cstheme="minorHAnsi"/>
          <w:b/>
          <w:bCs/>
          <w:i/>
          <w:u w:val="single"/>
          <w:lang w:val="en-GB"/>
        </w:rPr>
        <w:lastRenderedPageBreak/>
        <w:t xml:space="preserve">Vote ‘NO’ </w:t>
      </w:r>
      <w:r w:rsidRPr="001315B5">
        <w:rPr>
          <w:rFonts w:cstheme="minorHAnsi"/>
          <w:b/>
          <w:bCs/>
          <w:i/>
          <w:u w:val="single"/>
          <w:lang w:val="en-GB"/>
        </w:rPr>
        <w:t>to</w:t>
      </w:r>
      <w:r w:rsidRPr="00937398">
        <w:rPr>
          <w:rFonts w:cstheme="minorHAnsi"/>
          <w:b/>
          <w:bCs/>
          <w:i/>
          <w:u w:val="single"/>
          <w:lang w:val="en-GB"/>
        </w:rPr>
        <w:t xml:space="preserve"> the </w:t>
      </w:r>
      <w:r w:rsidRPr="001315B5">
        <w:rPr>
          <w:rFonts w:cstheme="minorHAnsi"/>
          <w:b/>
          <w:bCs/>
          <w:i/>
          <w:u w:val="single"/>
          <w:lang w:val="en-GB"/>
        </w:rPr>
        <w:t>Regulation due to u</w:t>
      </w:r>
      <w:r w:rsidRPr="00937398">
        <w:rPr>
          <w:rFonts w:cstheme="minorHAnsi"/>
          <w:b/>
          <w:bCs/>
          <w:i/>
          <w:u w:val="single"/>
          <w:lang w:val="en-GB"/>
        </w:rPr>
        <w:t xml:space="preserve">nderlining critical aspects of the PCR </w:t>
      </w:r>
      <w:r w:rsidR="00C26924">
        <w:rPr>
          <w:rFonts w:cstheme="minorHAnsi"/>
          <w:b/>
          <w:bCs/>
          <w:i/>
          <w:u w:val="single"/>
          <w:lang w:val="en-GB"/>
        </w:rPr>
        <w:t>T</w:t>
      </w:r>
      <w:r w:rsidRPr="00937398">
        <w:rPr>
          <w:rFonts w:cstheme="minorHAnsi"/>
          <w:b/>
          <w:bCs/>
          <w:i/>
          <w:u w:val="single"/>
          <w:lang w:val="en-GB"/>
        </w:rPr>
        <w:t>est</w:t>
      </w:r>
    </w:p>
    <w:p w14:paraId="65B45BDA" w14:textId="77777777" w:rsidR="00765DC0" w:rsidRPr="00765DC0" w:rsidRDefault="00765DC0" w:rsidP="00AF5C6A">
      <w:pPr>
        <w:spacing w:after="0" w:line="276" w:lineRule="auto"/>
        <w:jc w:val="center"/>
        <w:rPr>
          <w:rFonts w:cstheme="minorHAnsi"/>
          <w:b/>
          <w:bCs/>
          <w:i/>
          <w:u w:val="single"/>
          <w:lang w:val="en-GB"/>
        </w:rPr>
      </w:pPr>
    </w:p>
    <w:p w14:paraId="5A5F87B6" w14:textId="77777777" w:rsidR="00E765ED" w:rsidRDefault="00E765ED" w:rsidP="00AF5C6A">
      <w:pPr>
        <w:spacing w:after="0" w:line="276" w:lineRule="auto"/>
        <w:jc w:val="both"/>
        <w:rPr>
          <w:rFonts w:ascii="Calibri" w:eastAsia="Times New Roman" w:hAnsi="Calibri" w:cs="Calibri"/>
          <w:color w:val="000000"/>
          <w:lang w:val="en-GB" w:eastAsia="en-IE"/>
        </w:rPr>
      </w:pPr>
      <w:r>
        <w:rPr>
          <w:rFonts w:ascii="Calibri" w:eastAsia="Times New Roman" w:hAnsi="Calibri" w:cs="Calibri"/>
          <w:color w:val="000000"/>
          <w:lang w:val="en-GB" w:eastAsia="en-IE"/>
        </w:rPr>
        <w:t xml:space="preserve">1. </w:t>
      </w:r>
      <w:r w:rsidR="00937398" w:rsidRPr="00E765ED">
        <w:rPr>
          <w:rFonts w:ascii="Calibri" w:eastAsia="Times New Roman" w:hAnsi="Calibri" w:cs="Calibri"/>
          <w:color w:val="000000"/>
          <w:lang w:val="en-GB" w:eastAsia="en-IE"/>
        </w:rPr>
        <w:t xml:space="preserve">The PCR test detects specific segments of genetic material present in SARS-CoV-2. However, a </w:t>
      </w:r>
      <w:r w:rsidR="00937398" w:rsidRPr="00E765ED">
        <w:rPr>
          <w:rFonts w:ascii="Calibri" w:eastAsia="Times New Roman" w:hAnsi="Calibri" w:cs="Calibri"/>
          <w:b/>
          <w:bCs/>
          <w:color w:val="000000"/>
          <w:lang w:val="en-GB" w:eastAsia="en-IE"/>
        </w:rPr>
        <w:t>PCR test cannot distinguish between live and dead viruses</w:t>
      </w:r>
      <w:r w:rsidR="00937398" w:rsidRPr="00E765ED">
        <w:rPr>
          <w:rFonts w:ascii="Calibri" w:eastAsia="Times New Roman" w:hAnsi="Calibri" w:cs="Calibri"/>
          <w:color w:val="000000"/>
          <w:lang w:val="en-GB" w:eastAsia="en-IE"/>
        </w:rPr>
        <w:t>. Therefore, a positive PCR test fails to provide any information about the infectiousness of an individual. Used in isolation, it does not prove that the person is actively infected, or sick, or can infect others (</w:t>
      </w:r>
      <w:hyperlink r:id="rId8" w:history="1">
        <w:r w:rsidR="00937398" w:rsidRPr="00E765ED">
          <w:rPr>
            <w:rStyle w:val="Hyperlink"/>
            <w:rFonts w:ascii="Calibri" w:eastAsia="Times New Roman" w:hAnsi="Calibri" w:cs="Calibri"/>
            <w:lang w:val="en-GB" w:eastAsia="en-IE"/>
          </w:rPr>
          <w:t>Jefferson et al, 2020</w:t>
        </w:r>
      </w:hyperlink>
      <w:r w:rsidR="00937398" w:rsidRPr="00E765ED">
        <w:rPr>
          <w:rFonts w:ascii="Calibri" w:eastAsia="Times New Roman" w:hAnsi="Calibri" w:cs="Calibri"/>
          <w:color w:val="000000"/>
          <w:lang w:val="en-GB" w:eastAsia="en-IE"/>
        </w:rPr>
        <w:t>).</w:t>
      </w:r>
    </w:p>
    <w:p w14:paraId="21E56C5C" w14:textId="77777777" w:rsidR="00E765ED" w:rsidRDefault="00E765ED" w:rsidP="00AF5C6A">
      <w:pPr>
        <w:spacing w:after="0" w:line="276" w:lineRule="auto"/>
        <w:jc w:val="both"/>
        <w:rPr>
          <w:rFonts w:ascii="Calibri" w:eastAsia="Times New Roman" w:hAnsi="Calibri" w:cs="Calibri"/>
          <w:color w:val="000000"/>
          <w:lang w:val="en-GB" w:eastAsia="en-IE"/>
        </w:rPr>
      </w:pPr>
    </w:p>
    <w:p w14:paraId="2E5A4099" w14:textId="77777777" w:rsidR="00E765ED" w:rsidRDefault="00E765ED" w:rsidP="00AF5C6A">
      <w:pPr>
        <w:spacing w:after="0" w:line="276" w:lineRule="auto"/>
        <w:jc w:val="both"/>
        <w:rPr>
          <w:rFonts w:ascii="Calibri" w:eastAsia="Times New Roman" w:hAnsi="Calibri" w:cs="Calibri"/>
          <w:color w:val="000000"/>
          <w:lang w:val="en-GB" w:eastAsia="en-IE"/>
        </w:rPr>
      </w:pPr>
      <w:r>
        <w:rPr>
          <w:rFonts w:ascii="Calibri" w:eastAsia="Times New Roman" w:hAnsi="Calibri" w:cs="Calibri"/>
          <w:color w:val="000000"/>
          <w:lang w:val="en-GB" w:eastAsia="en-IE"/>
        </w:rPr>
        <w:t xml:space="preserve">2. </w:t>
      </w:r>
      <w:r w:rsidR="00937398" w:rsidRPr="00937398">
        <w:rPr>
          <w:rFonts w:ascii="Calibri" w:eastAsia="Times New Roman" w:hAnsi="Calibri" w:cs="Calibri"/>
          <w:color w:val="000000"/>
          <w:lang w:val="en-GB" w:eastAsia="en-IE"/>
        </w:rPr>
        <w:t xml:space="preserve">People infected with SARS-CoV-2 can be infectious for a short period before the onset of symptoms of COVID-19 and for approximately eight days after the onset of symptoms. Due to the sensitivity of PCR tests, </w:t>
      </w:r>
      <w:r w:rsidR="00937398" w:rsidRPr="00937398">
        <w:rPr>
          <w:rFonts w:ascii="Calibri" w:eastAsia="Times New Roman" w:hAnsi="Calibri" w:cs="Calibri"/>
          <w:b/>
          <w:bCs/>
          <w:color w:val="000000"/>
          <w:lang w:val="en-GB" w:eastAsia="en-IE"/>
        </w:rPr>
        <w:t>inactive viral fragments can be detected</w:t>
      </w:r>
      <w:r w:rsidR="00937398" w:rsidRPr="00937398">
        <w:rPr>
          <w:rFonts w:ascii="Calibri" w:eastAsia="Times New Roman" w:hAnsi="Calibri" w:cs="Calibri"/>
          <w:color w:val="000000"/>
          <w:lang w:val="en-GB" w:eastAsia="en-IE"/>
        </w:rPr>
        <w:t xml:space="preserve"> in nasal swabs for </w:t>
      </w:r>
      <w:r w:rsidR="00937398" w:rsidRPr="00937398">
        <w:rPr>
          <w:rFonts w:ascii="Calibri" w:eastAsia="Times New Roman" w:hAnsi="Calibri" w:cs="Calibri"/>
          <w:b/>
          <w:bCs/>
          <w:color w:val="000000"/>
          <w:lang w:val="en-GB" w:eastAsia="en-IE"/>
        </w:rPr>
        <w:t>up to 83 days from the onset of disease</w:t>
      </w:r>
      <w:r w:rsidR="00937398" w:rsidRPr="00937398">
        <w:rPr>
          <w:rFonts w:ascii="Calibri" w:eastAsia="Times New Roman" w:hAnsi="Calibri" w:cs="Calibri"/>
          <w:color w:val="000000"/>
          <w:lang w:val="en-GB" w:eastAsia="en-IE"/>
        </w:rPr>
        <w:t xml:space="preserve"> (</w:t>
      </w:r>
      <w:hyperlink r:id="rId9" w:history="1">
        <w:r w:rsidR="00937398" w:rsidRPr="00937398">
          <w:rPr>
            <w:rStyle w:val="Hyperlink"/>
            <w:rFonts w:ascii="Calibri" w:eastAsia="Times New Roman" w:hAnsi="Calibri" w:cs="Calibri"/>
            <w:lang w:val="en-GB" w:eastAsia="en-IE"/>
          </w:rPr>
          <w:t>Jefferson et al, 2020</w:t>
        </w:r>
      </w:hyperlink>
      <w:r w:rsidR="00937398" w:rsidRPr="00937398">
        <w:rPr>
          <w:rFonts w:ascii="Calibri" w:eastAsia="Times New Roman" w:hAnsi="Calibri" w:cs="Calibri"/>
          <w:color w:val="000000"/>
          <w:lang w:val="en-GB" w:eastAsia="en-IE"/>
        </w:rPr>
        <w:t>). </w:t>
      </w:r>
    </w:p>
    <w:p w14:paraId="0B277E67" w14:textId="77777777" w:rsidR="00E765ED" w:rsidRDefault="00E765ED" w:rsidP="00AF5C6A">
      <w:pPr>
        <w:spacing w:after="0" w:line="276" w:lineRule="auto"/>
        <w:jc w:val="both"/>
        <w:rPr>
          <w:rFonts w:ascii="Calibri" w:eastAsia="Times New Roman" w:hAnsi="Calibri" w:cs="Calibri"/>
          <w:color w:val="000000"/>
          <w:lang w:val="en-GB" w:eastAsia="en-IE"/>
        </w:rPr>
      </w:pPr>
    </w:p>
    <w:p w14:paraId="3F6D6522" w14:textId="77777777" w:rsidR="00E765ED" w:rsidRDefault="00E765ED" w:rsidP="00AF5C6A">
      <w:pPr>
        <w:spacing w:after="0" w:line="276" w:lineRule="auto"/>
        <w:jc w:val="both"/>
        <w:rPr>
          <w:rFonts w:ascii="Calibri" w:eastAsia="Times New Roman" w:hAnsi="Calibri" w:cs="Calibri"/>
          <w:color w:val="000000"/>
          <w:lang w:val="en-GB" w:eastAsia="en-IE"/>
        </w:rPr>
      </w:pPr>
      <w:r>
        <w:rPr>
          <w:rFonts w:ascii="Calibri" w:eastAsia="Times New Roman" w:hAnsi="Calibri" w:cs="Calibri"/>
          <w:color w:val="000000"/>
          <w:lang w:val="en-GB" w:eastAsia="en-IE"/>
        </w:rPr>
        <w:t xml:space="preserve">3. </w:t>
      </w:r>
      <w:r w:rsidR="00937398" w:rsidRPr="00937398">
        <w:rPr>
          <w:rFonts w:ascii="Calibri" w:eastAsia="Times New Roman" w:hAnsi="Calibri" w:cs="Calibri"/>
          <w:color w:val="000000"/>
          <w:lang w:val="en-GB" w:eastAsia="en-IE"/>
        </w:rPr>
        <w:t xml:space="preserve">It is </w:t>
      </w:r>
      <w:r w:rsidR="00937398" w:rsidRPr="00937398">
        <w:rPr>
          <w:rFonts w:ascii="Calibri" w:eastAsia="Times New Roman" w:hAnsi="Calibri" w:cs="Calibri"/>
          <w:b/>
          <w:bCs/>
          <w:color w:val="000000"/>
          <w:lang w:val="en-GB" w:eastAsia="en-IE"/>
        </w:rPr>
        <w:t xml:space="preserve">possible for a person to test positive for SARS-CoV-2 when they do </w:t>
      </w:r>
      <w:r w:rsidR="00937398" w:rsidRPr="00937398">
        <w:rPr>
          <w:rFonts w:ascii="Calibri" w:eastAsia="Times New Roman" w:hAnsi="Calibri" w:cs="Calibri"/>
          <w:b/>
          <w:bCs/>
          <w:i/>
          <w:iCs/>
          <w:color w:val="000000"/>
          <w:lang w:val="en-GB" w:eastAsia="en-IE"/>
        </w:rPr>
        <w:t>not</w:t>
      </w:r>
      <w:r w:rsidR="00937398" w:rsidRPr="00937398">
        <w:rPr>
          <w:rFonts w:ascii="Calibri" w:eastAsia="Times New Roman" w:hAnsi="Calibri" w:cs="Calibri"/>
          <w:b/>
          <w:bCs/>
          <w:color w:val="000000"/>
          <w:lang w:val="en-GB" w:eastAsia="en-IE"/>
        </w:rPr>
        <w:t xml:space="preserve"> have the virus</w:t>
      </w:r>
      <w:r w:rsidR="00937398" w:rsidRPr="00937398">
        <w:rPr>
          <w:rFonts w:ascii="Calibri" w:eastAsia="Times New Roman" w:hAnsi="Calibri" w:cs="Calibri"/>
          <w:color w:val="000000"/>
          <w:lang w:val="en-GB" w:eastAsia="en-IE"/>
        </w:rPr>
        <w:t>, due to errors within the PCR test protocol. False positive results can also occur from contamination when taking the sample, when handling it in a laboratory, when testing asymptomatic individuals and due to equipment errors (</w:t>
      </w:r>
      <w:hyperlink r:id="rId10" w:history="1">
        <w:r w:rsidR="00937398" w:rsidRPr="00937398">
          <w:rPr>
            <w:rStyle w:val="Hyperlink"/>
            <w:rFonts w:ascii="Calibri" w:eastAsia="Times New Roman" w:hAnsi="Calibri" w:cs="Calibri"/>
            <w:lang w:val="en-GB" w:eastAsia="en-IE"/>
          </w:rPr>
          <w:t>Craig</w:t>
        </w:r>
      </w:hyperlink>
      <w:r w:rsidR="00937398" w:rsidRPr="00937398">
        <w:rPr>
          <w:rFonts w:ascii="Calibri" w:eastAsia="Times New Roman" w:hAnsi="Calibri" w:cs="Calibri"/>
          <w:color w:val="000000"/>
          <w:lang w:val="en-GB" w:eastAsia="en-IE"/>
        </w:rPr>
        <w:t>, 2021).</w:t>
      </w:r>
    </w:p>
    <w:p w14:paraId="04F1EC60" w14:textId="77777777" w:rsidR="00E765ED" w:rsidRDefault="00E765ED" w:rsidP="00AF5C6A">
      <w:pPr>
        <w:spacing w:after="0" w:line="276" w:lineRule="auto"/>
        <w:jc w:val="both"/>
        <w:rPr>
          <w:rFonts w:ascii="Calibri" w:eastAsia="Times New Roman" w:hAnsi="Calibri" w:cs="Calibri"/>
          <w:color w:val="000000"/>
          <w:lang w:val="en-GB" w:eastAsia="en-IE"/>
        </w:rPr>
      </w:pPr>
    </w:p>
    <w:p w14:paraId="1BF105BA" w14:textId="03020D15" w:rsidR="00E765ED" w:rsidRDefault="00E765ED" w:rsidP="00AF5C6A">
      <w:pPr>
        <w:spacing w:after="0" w:line="276" w:lineRule="auto"/>
        <w:jc w:val="both"/>
        <w:rPr>
          <w:rFonts w:ascii="Calibri" w:eastAsia="Times New Roman" w:hAnsi="Calibri" w:cs="Calibri"/>
          <w:color w:val="000000"/>
          <w:lang w:val="en-GB" w:eastAsia="en-IE"/>
        </w:rPr>
      </w:pPr>
      <w:r>
        <w:rPr>
          <w:rFonts w:ascii="Calibri" w:eastAsia="Times New Roman" w:hAnsi="Calibri" w:cs="Calibri"/>
          <w:color w:val="000000"/>
          <w:lang w:val="en-GB" w:eastAsia="en-IE"/>
        </w:rPr>
        <w:t xml:space="preserve">4. </w:t>
      </w:r>
      <w:r w:rsidR="00937398" w:rsidRPr="00937398">
        <w:rPr>
          <w:rFonts w:ascii="Calibri" w:eastAsia="Times New Roman" w:hAnsi="Calibri" w:cs="Calibri"/>
          <w:color w:val="000000"/>
          <w:lang w:val="en-GB" w:eastAsia="en-IE"/>
        </w:rPr>
        <w:t xml:space="preserve">The </w:t>
      </w:r>
      <w:r w:rsidR="00765DC0">
        <w:rPr>
          <w:rFonts w:ascii="Calibri" w:eastAsia="Times New Roman" w:hAnsi="Calibri" w:cs="Calibri"/>
          <w:color w:val="000000"/>
          <w:lang w:val="en-GB" w:eastAsia="en-IE"/>
        </w:rPr>
        <w:t>“</w:t>
      </w:r>
      <w:r w:rsidR="00937398" w:rsidRPr="00937398">
        <w:rPr>
          <w:rFonts w:ascii="Calibri" w:eastAsia="Times New Roman" w:hAnsi="Calibri" w:cs="Calibri"/>
          <w:i/>
          <w:iCs/>
          <w:color w:val="000000"/>
          <w:lang w:val="en-GB" w:eastAsia="en-IE"/>
        </w:rPr>
        <w:t>primers</w:t>
      </w:r>
      <w:r w:rsidR="00765DC0">
        <w:rPr>
          <w:rFonts w:ascii="Calibri" w:eastAsia="Times New Roman" w:hAnsi="Calibri" w:cs="Calibri"/>
          <w:color w:val="000000"/>
          <w:lang w:val="en-GB" w:eastAsia="en-IE"/>
        </w:rPr>
        <w:t>”</w:t>
      </w:r>
      <w:r w:rsidR="00937398" w:rsidRPr="00937398">
        <w:rPr>
          <w:rFonts w:ascii="Calibri" w:eastAsia="Times New Roman" w:hAnsi="Calibri" w:cs="Calibri"/>
          <w:color w:val="000000"/>
          <w:lang w:val="en-GB" w:eastAsia="en-IE"/>
        </w:rPr>
        <w:t xml:space="preserve"> (short genetic sequences) used in PCR tests may not accurately detect SARS-CoV-2, particularly when only a single primer is used (</w:t>
      </w:r>
      <w:hyperlink r:id="rId11" w:history="1">
        <w:r w:rsidR="00937398" w:rsidRPr="00937398">
          <w:rPr>
            <w:rStyle w:val="Hyperlink"/>
            <w:rFonts w:ascii="Calibri" w:eastAsia="Times New Roman" w:hAnsi="Calibri" w:cs="Calibri"/>
            <w:lang w:val="en-GB" w:eastAsia="en-IE"/>
          </w:rPr>
          <w:t>Borger et al, 2020</w:t>
        </w:r>
      </w:hyperlink>
      <w:r w:rsidR="00937398" w:rsidRPr="00937398">
        <w:rPr>
          <w:rFonts w:ascii="Calibri" w:eastAsia="Times New Roman" w:hAnsi="Calibri" w:cs="Calibri"/>
          <w:color w:val="000000"/>
          <w:lang w:val="en-GB" w:eastAsia="en-IE"/>
        </w:rPr>
        <w:t xml:space="preserve">). The </w:t>
      </w:r>
      <w:r w:rsidR="00937398" w:rsidRPr="00937398">
        <w:rPr>
          <w:rFonts w:ascii="Calibri" w:eastAsia="Times New Roman" w:hAnsi="Calibri" w:cs="Calibri"/>
          <w:b/>
          <w:bCs/>
          <w:color w:val="000000"/>
          <w:lang w:val="en-GB" w:eastAsia="en-IE"/>
        </w:rPr>
        <w:t>PCR test could confuse genetic material from the human genome or from other coronaviruses</w:t>
      </w:r>
      <w:r w:rsidR="00937398" w:rsidRPr="00937398">
        <w:rPr>
          <w:rFonts w:ascii="Calibri" w:eastAsia="Times New Roman" w:hAnsi="Calibri" w:cs="Calibri"/>
          <w:color w:val="000000"/>
          <w:lang w:val="en-GB" w:eastAsia="en-IE"/>
        </w:rPr>
        <w:t xml:space="preserve"> for SARS-CoV-2 (</w:t>
      </w:r>
      <w:hyperlink r:id="rId12" w:history="1">
        <w:r w:rsidR="00937398" w:rsidRPr="00937398">
          <w:rPr>
            <w:rStyle w:val="Hyperlink"/>
            <w:rFonts w:ascii="Calibri" w:eastAsia="Times New Roman" w:hAnsi="Calibri" w:cs="Calibri"/>
            <w:lang w:val="en-GB" w:eastAsia="en-IE"/>
          </w:rPr>
          <w:t>Craig</w:t>
        </w:r>
      </w:hyperlink>
      <w:r w:rsidR="00937398" w:rsidRPr="00937398">
        <w:rPr>
          <w:rFonts w:ascii="Calibri" w:eastAsia="Times New Roman" w:hAnsi="Calibri" w:cs="Calibri"/>
          <w:color w:val="000000"/>
          <w:lang w:val="en-GB" w:eastAsia="en-IE"/>
        </w:rPr>
        <w:t>, 2021). </w:t>
      </w:r>
    </w:p>
    <w:p w14:paraId="1C607CF4" w14:textId="77777777" w:rsidR="00E765ED" w:rsidRDefault="00E765ED" w:rsidP="00AF5C6A">
      <w:pPr>
        <w:spacing w:after="0" w:line="276" w:lineRule="auto"/>
        <w:jc w:val="both"/>
        <w:rPr>
          <w:rFonts w:ascii="Calibri" w:eastAsia="Times New Roman" w:hAnsi="Calibri" w:cs="Calibri"/>
          <w:color w:val="000000"/>
          <w:lang w:val="en-GB" w:eastAsia="en-IE"/>
        </w:rPr>
      </w:pPr>
    </w:p>
    <w:p w14:paraId="31F756E1" w14:textId="2354F1A5" w:rsidR="00937398" w:rsidRPr="00937398" w:rsidRDefault="00E765ED" w:rsidP="00AF5C6A">
      <w:pPr>
        <w:spacing w:after="0" w:line="276" w:lineRule="auto"/>
        <w:jc w:val="both"/>
        <w:rPr>
          <w:rFonts w:ascii="Calibri" w:eastAsia="Times New Roman" w:hAnsi="Calibri" w:cs="Calibri"/>
          <w:color w:val="000000"/>
          <w:lang w:val="en-GB" w:eastAsia="en-IE"/>
        </w:rPr>
      </w:pPr>
      <w:r>
        <w:rPr>
          <w:rFonts w:ascii="Calibri" w:eastAsia="Times New Roman" w:hAnsi="Calibri" w:cs="Calibri"/>
          <w:color w:val="000000"/>
          <w:lang w:val="en-GB" w:eastAsia="en-IE"/>
        </w:rPr>
        <w:t xml:space="preserve">5. </w:t>
      </w:r>
      <w:r w:rsidR="00937398" w:rsidRPr="00937398">
        <w:rPr>
          <w:rFonts w:ascii="Calibri" w:eastAsia="Times New Roman" w:hAnsi="Calibri" w:cs="Calibri"/>
          <w:color w:val="000000"/>
          <w:lang w:val="en-GB" w:eastAsia="en-IE"/>
        </w:rPr>
        <w:t>The “</w:t>
      </w:r>
      <w:r w:rsidR="00937398" w:rsidRPr="00937398">
        <w:rPr>
          <w:rFonts w:ascii="Calibri" w:eastAsia="Times New Roman" w:hAnsi="Calibri" w:cs="Calibri"/>
          <w:b/>
          <w:bCs/>
          <w:i/>
          <w:iCs/>
          <w:color w:val="000000"/>
          <w:lang w:val="en-GB" w:eastAsia="en-IE"/>
        </w:rPr>
        <w:t>cycle threshold</w:t>
      </w:r>
      <w:r w:rsidR="00937398" w:rsidRPr="00937398">
        <w:rPr>
          <w:rFonts w:ascii="Calibri" w:eastAsia="Times New Roman" w:hAnsi="Calibri" w:cs="Calibri"/>
          <w:color w:val="000000"/>
          <w:lang w:val="en-GB" w:eastAsia="en-IE"/>
        </w:rPr>
        <w:t xml:space="preserve">” - the number of times genetic material is amplified - </w:t>
      </w:r>
      <w:r w:rsidR="00937398" w:rsidRPr="00937398">
        <w:rPr>
          <w:rFonts w:ascii="Calibri" w:eastAsia="Times New Roman" w:hAnsi="Calibri" w:cs="Calibri"/>
          <w:b/>
          <w:bCs/>
          <w:color w:val="000000"/>
          <w:lang w:val="en-GB" w:eastAsia="en-IE"/>
        </w:rPr>
        <w:t>is important when interpreting PCR test results</w:t>
      </w:r>
      <w:r w:rsidR="00937398" w:rsidRPr="00937398">
        <w:rPr>
          <w:rFonts w:ascii="Calibri" w:eastAsia="Times New Roman" w:hAnsi="Calibri" w:cs="Calibri"/>
          <w:color w:val="000000"/>
          <w:lang w:val="en-GB" w:eastAsia="en-IE"/>
        </w:rPr>
        <w:t>. If the cycle threshold (Ct) value is low (e.g. below 25), this indicates that there is a lot of viral genetic material and therefore it is more likely that the virus is active. If the Ct value is high (e.g. above 30), it is more likely that the infection is no longer active (</w:t>
      </w:r>
      <w:hyperlink r:id="rId13" w:history="1">
        <w:r w:rsidR="00937398" w:rsidRPr="00937398">
          <w:rPr>
            <w:rStyle w:val="Hyperlink"/>
            <w:rFonts w:ascii="Calibri" w:eastAsia="Times New Roman" w:hAnsi="Calibri" w:cs="Calibri"/>
            <w:lang w:val="en-GB" w:eastAsia="en-IE"/>
          </w:rPr>
          <w:t>Jefferson et al, 2020</w:t>
        </w:r>
      </w:hyperlink>
      <w:r w:rsidR="00937398" w:rsidRPr="00937398">
        <w:rPr>
          <w:rFonts w:ascii="Calibri" w:eastAsia="Times New Roman" w:hAnsi="Calibri" w:cs="Calibri"/>
          <w:color w:val="000000"/>
          <w:lang w:val="en-GB" w:eastAsia="en-IE"/>
        </w:rPr>
        <w:t>)</w:t>
      </w:r>
    </w:p>
    <w:p w14:paraId="09861F7D" w14:textId="77777777" w:rsidR="00E765ED" w:rsidRDefault="00E765ED" w:rsidP="00AF5C6A">
      <w:pPr>
        <w:spacing w:after="0" w:line="276" w:lineRule="auto"/>
        <w:jc w:val="both"/>
        <w:rPr>
          <w:rFonts w:ascii="Calibri" w:eastAsia="Times New Roman" w:hAnsi="Calibri" w:cs="Calibri"/>
          <w:i/>
          <w:iCs/>
          <w:color w:val="000000"/>
          <w:lang w:val="en-GB" w:eastAsia="en-IE"/>
        </w:rPr>
      </w:pPr>
    </w:p>
    <w:p w14:paraId="632A961D" w14:textId="18C99C83" w:rsidR="00937398" w:rsidRPr="00937398"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i/>
          <w:iCs/>
          <w:color w:val="000000"/>
          <w:lang w:val="en-GB" w:eastAsia="en-IE"/>
        </w:rPr>
        <w:t>If there is no active virus, a person is not infectious.</w:t>
      </w:r>
    </w:p>
    <w:p w14:paraId="16E17443" w14:textId="77777777" w:rsidR="00E765ED" w:rsidRDefault="00E765ED" w:rsidP="00AF5C6A">
      <w:pPr>
        <w:spacing w:after="0" w:line="276" w:lineRule="auto"/>
        <w:jc w:val="both"/>
        <w:rPr>
          <w:rFonts w:ascii="Calibri" w:eastAsia="Times New Roman" w:hAnsi="Calibri" w:cs="Calibri"/>
          <w:color w:val="000000"/>
          <w:lang w:val="en-GB" w:eastAsia="en-IE"/>
        </w:rPr>
      </w:pPr>
    </w:p>
    <w:p w14:paraId="369211ED" w14:textId="1EAABB55" w:rsidR="00937398" w:rsidRPr="00937398"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t>In November 2020, a group of scientists conducted a review of the Corman-Drosten paper (</w:t>
      </w:r>
      <w:hyperlink r:id="rId14" w:history="1">
        <w:r w:rsidRPr="00937398">
          <w:rPr>
            <w:rStyle w:val="Hyperlink"/>
            <w:rFonts w:ascii="Calibri" w:eastAsia="Times New Roman" w:hAnsi="Calibri" w:cs="Calibri"/>
            <w:lang w:val="en-GB" w:eastAsia="en-IE"/>
          </w:rPr>
          <w:t>Corman et al.</w:t>
        </w:r>
      </w:hyperlink>
      <w:r w:rsidRPr="00937398">
        <w:rPr>
          <w:rFonts w:ascii="Calibri" w:eastAsia="Times New Roman" w:hAnsi="Calibri" w:cs="Calibri"/>
          <w:color w:val="000000"/>
          <w:lang w:val="en-GB" w:eastAsia="en-IE"/>
        </w:rPr>
        <w:t>, January 2020), which set the standard for global PCR testing for SARS-CoV-2,. The scientists who conducted the review concluded that</w:t>
      </w:r>
      <w:r w:rsidRPr="00937398">
        <w:rPr>
          <w:rFonts w:ascii="Calibri" w:eastAsia="Times New Roman" w:hAnsi="Calibri" w:cs="Calibri"/>
          <w:i/>
          <w:iCs/>
          <w:color w:val="000000"/>
          <w:lang w:val="en-GB" w:eastAsia="en-IE"/>
        </w:rPr>
        <w:t xml:space="preserve"> ‘the Corman-Drosten paper is severely flawed with respect to its biomolecular and methodological design</w:t>
      </w:r>
      <w:r w:rsidRPr="00937398">
        <w:rPr>
          <w:rFonts w:ascii="Calibri" w:eastAsia="Times New Roman" w:hAnsi="Calibri" w:cs="Calibri"/>
          <w:color w:val="000000"/>
          <w:lang w:val="en-GB" w:eastAsia="en-IE"/>
        </w:rPr>
        <w:t>’(</w:t>
      </w:r>
      <w:hyperlink r:id="rId15" w:history="1">
        <w:r w:rsidRPr="00937398">
          <w:rPr>
            <w:rStyle w:val="Hyperlink"/>
            <w:rFonts w:ascii="Calibri" w:eastAsia="Times New Roman" w:hAnsi="Calibri" w:cs="Calibri"/>
            <w:lang w:val="en-GB" w:eastAsia="en-IE"/>
          </w:rPr>
          <w:t>Borger et al</w:t>
        </w:r>
      </w:hyperlink>
      <w:r w:rsidRPr="00937398">
        <w:rPr>
          <w:rFonts w:ascii="Calibri" w:eastAsia="Times New Roman" w:hAnsi="Calibri" w:cs="Calibri"/>
          <w:color w:val="000000"/>
          <w:lang w:val="en-GB" w:eastAsia="en-IE"/>
        </w:rPr>
        <w:t>., 2020). The concerns raised in this review have yet to be properly addressed by the authors. In January 2021, the W</w:t>
      </w:r>
      <w:r w:rsidR="001315B5">
        <w:rPr>
          <w:rFonts w:ascii="Calibri" w:eastAsia="Times New Roman" w:hAnsi="Calibri" w:cs="Calibri"/>
          <w:color w:val="000000"/>
          <w:lang w:val="en-GB" w:eastAsia="en-IE"/>
        </w:rPr>
        <w:t xml:space="preserve">orld Health Organisation </w:t>
      </w:r>
      <w:r w:rsidRPr="00937398">
        <w:rPr>
          <w:rFonts w:ascii="Calibri" w:eastAsia="Times New Roman" w:hAnsi="Calibri" w:cs="Calibri"/>
          <w:color w:val="000000"/>
          <w:lang w:val="en-GB" w:eastAsia="en-IE"/>
        </w:rPr>
        <w:t>issued technical guidance for PCR testing which outlined the limitations of PCR testing and the risk of false positives (</w:t>
      </w:r>
      <w:hyperlink r:id="rId16" w:history="1">
        <w:r w:rsidRPr="00937398">
          <w:rPr>
            <w:rStyle w:val="Hyperlink"/>
            <w:rFonts w:ascii="Calibri" w:eastAsia="Times New Roman" w:hAnsi="Calibri" w:cs="Calibri"/>
            <w:lang w:val="en-GB" w:eastAsia="en-IE"/>
          </w:rPr>
          <w:t>WHO,</w:t>
        </w:r>
      </w:hyperlink>
      <w:r w:rsidRPr="00937398">
        <w:rPr>
          <w:rFonts w:ascii="Calibri" w:eastAsia="Times New Roman" w:hAnsi="Calibri" w:cs="Calibri"/>
          <w:color w:val="000000"/>
          <w:lang w:val="en-GB" w:eastAsia="en-IE"/>
        </w:rPr>
        <w:t xml:space="preserve"> 2021). </w:t>
      </w:r>
    </w:p>
    <w:p w14:paraId="1CC678A8" w14:textId="77777777" w:rsidR="00937398" w:rsidRPr="00937398"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t> </w:t>
      </w:r>
    </w:p>
    <w:p w14:paraId="050F8A6B" w14:textId="4ED11C45" w:rsidR="00937398"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t xml:space="preserve">In light of the above considerations, the validity and usefulness of current PCR testing regimes, particularly when testing asymptomatic people, must be called into question. The scientific evidence clearly shows that the PCR test cannot provide reliable results about the </w:t>
      </w:r>
      <w:r w:rsidR="001315B5" w:rsidRPr="00E765ED">
        <w:rPr>
          <w:rFonts w:ascii="Calibri" w:eastAsia="Times New Roman" w:hAnsi="Calibri" w:cs="Calibri"/>
          <w:color w:val="000000"/>
          <w:lang w:val="en-GB" w:eastAsia="en-IE"/>
        </w:rPr>
        <w:t>C</w:t>
      </w:r>
      <w:r w:rsidRPr="00937398">
        <w:rPr>
          <w:rFonts w:ascii="Calibri" w:eastAsia="Times New Roman" w:hAnsi="Calibri" w:cs="Calibri"/>
          <w:color w:val="000000"/>
          <w:lang w:val="en-GB" w:eastAsia="en-IE"/>
        </w:rPr>
        <w:t xml:space="preserve">ovid-19 infection. Therefore, the fundamental assumption of reliability for diagnosing Covid-19 on which a PCR test </w:t>
      </w:r>
      <w:bookmarkStart w:id="0" w:name="_Hlk69827640"/>
      <w:r w:rsidRPr="00937398">
        <w:rPr>
          <w:rFonts w:ascii="Calibri" w:eastAsia="Times New Roman" w:hAnsi="Calibri" w:cs="Calibri"/>
          <w:color w:val="000000"/>
          <w:lang w:val="en-GB" w:eastAsia="en-IE"/>
        </w:rPr>
        <w:t xml:space="preserve">Green Digital Certificate </w:t>
      </w:r>
      <w:bookmarkEnd w:id="0"/>
      <w:r w:rsidRPr="00937398">
        <w:rPr>
          <w:rFonts w:ascii="Calibri" w:eastAsia="Times New Roman" w:hAnsi="Calibri" w:cs="Calibri"/>
          <w:color w:val="000000"/>
          <w:lang w:val="en-GB" w:eastAsia="en-IE"/>
        </w:rPr>
        <w:t>would be based is incorrect and might lead to unfair and discriminatory treatment of the bearer, who would see their fundamental freedom of movement barred on a doubtful scientific basis.</w:t>
      </w:r>
    </w:p>
    <w:p w14:paraId="4736581C" w14:textId="0ADF0A3C" w:rsidR="00AF5C6A" w:rsidRDefault="00AF5C6A" w:rsidP="00AF5C6A">
      <w:pPr>
        <w:spacing w:after="0" w:line="276" w:lineRule="auto"/>
        <w:jc w:val="both"/>
        <w:rPr>
          <w:rFonts w:ascii="Calibri" w:eastAsia="Times New Roman" w:hAnsi="Calibri" w:cs="Calibri"/>
          <w:color w:val="000000"/>
          <w:lang w:val="en-GB" w:eastAsia="en-IE"/>
        </w:rPr>
      </w:pPr>
    </w:p>
    <w:p w14:paraId="29984E08" w14:textId="77777777" w:rsidR="00AF5C6A" w:rsidRPr="00E765ED" w:rsidRDefault="00AF5C6A" w:rsidP="00AF5C6A">
      <w:pPr>
        <w:spacing w:after="0" w:line="276" w:lineRule="auto"/>
        <w:jc w:val="both"/>
        <w:rPr>
          <w:rFonts w:ascii="Calibri" w:eastAsia="Times New Roman" w:hAnsi="Calibri" w:cs="Calibri"/>
          <w:color w:val="000000"/>
          <w:lang w:val="en-GB" w:eastAsia="en-IE"/>
        </w:rPr>
      </w:pPr>
    </w:p>
    <w:p w14:paraId="21AD00D1" w14:textId="77777777" w:rsidR="00937398" w:rsidRPr="00937398" w:rsidRDefault="00937398" w:rsidP="00AF5C6A">
      <w:pPr>
        <w:spacing w:after="0" w:line="276" w:lineRule="auto"/>
        <w:jc w:val="both"/>
        <w:rPr>
          <w:rFonts w:cstheme="minorHAnsi"/>
          <w:b/>
          <w:bCs/>
          <w:i/>
          <w:lang w:val="en-GB"/>
        </w:rPr>
      </w:pPr>
    </w:p>
    <w:p w14:paraId="0505069B" w14:textId="3C329A6E" w:rsidR="00937398" w:rsidRPr="00937398" w:rsidRDefault="00937398" w:rsidP="00AF5C6A">
      <w:pPr>
        <w:spacing w:after="0" w:line="276" w:lineRule="auto"/>
        <w:jc w:val="center"/>
        <w:rPr>
          <w:rFonts w:cstheme="minorHAnsi"/>
          <w:b/>
          <w:bCs/>
          <w:i/>
          <w:u w:val="single"/>
          <w:lang w:val="en-GB"/>
        </w:rPr>
      </w:pPr>
      <w:r w:rsidRPr="00937398">
        <w:rPr>
          <w:rFonts w:cstheme="minorHAnsi"/>
          <w:b/>
          <w:bCs/>
          <w:i/>
          <w:u w:val="single"/>
          <w:lang w:val="en-GB"/>
        </w:rPr>
        <w:lastRenderedPageBreak/>
        <w:t xml:space="preserve">Vote ‘NO’ </w:t>
      </w:r>
      <w:r w:rsidR="001315B5" w:rsidRPr="001315B5">
        <w:rPr>
          <w:rFonts w:cstheme="minorHAnsi"/>
          <w:b/>
          <w:bCs/>
          <w:i/>
          <w:u w:val="single"/>
          <w:lang w:val="en-GB"/>
        </w:rPr>
        <w:t xml:space="preserve">to the Regulation </w:t>
      </w:r>
      <w:r w:rsidRPr="00937398">
        <w:rPr>
          <w:rFonts w:cstheme="minorHAnsi"/>
          <w:b/>
          <w:bCs/>
          <w:i/>
          <w:u w:val="single"/>
          <w:lang w:val="en-GB"/>
        </w:rPr>
        <w:t xml:space="preserve">because it does not “facilitate” </w:t>
      </w:r>
      <w:r w:rsidR="00C26924">
        <w:rPr>
          <w:rFonts w:cstheme="minorHAnsi"/>
          <w:b/>
          <w:bCs/>
          <w:i/>
          <w:u w:val="single"/>
          <w:lang w:val="en-GB"/>
        </w:rPr>
        <w:t>F</w:t>
      </w:r>
      <w:r w:rsidRPr="00937398">
        <w:rPr>
          <w:rFonts w:cstheme="minorHAnsi"/>
          <w:b/>
          <w:bCs/>
          <w:i/>
          <w:u w:val="single"/>
          <w:lang w:val="en-GB"/>
        </w:rPr>
        <w:t xml:space="preserve">ree </w:t>
      </w:r>
      <w:r w:rsidR="00C26924">
        <w:rPr>
          <w:rFonts w:cstheme="minorHAnsi"/>
          <w:b/>
          <w:bCs/>
          <w:i/>
          <w:u w:val="single"/>
          <w:lang w:val="en-GB"/>
        </w:rPr>
        <w:t>M</w:t>
      </w:r>
      <w:r w:rsidRPr="00937398">
        <w:rPr>
          <w:rFonts w:cstheme="minorHAnsi"/>
          <w:b/>
          <w:bCs/>
          <w:i/>
          <w:u w:val="single"/>
          <w:lang w:val="en-GB"/>
        </w:rPr>
        <w:t>ovement but prevents it</w:t>
      </w:r>
    </w:p>
    <w:p w14:paraId="5A559E13" w14:textId="77777777" w:rsidR="001315B5" w:rsidRDefault="001315B5" w:rsidP="00AF5C6A">
      <w:pPr>
        <w:spacing w:after="0" w:line="276" w:lineRule="auto"/>
        <w:ind w:left="1440"/>
        <w:jc w:val="both"/>
        <w:rPr>
          <w:rFonts w:ascii="Calibri" w:eastAsia="Times New Roman" w:hAnsi="Calibri" w:cs="Calibri"/>
          <w:color w:val="000000"/>
          <w:lang w:val="en-GB" w:eastAsia="en-IE"/>
        </w:rPr>
      </w:pPr>
    </w:p>
    <w:p w14:paraId="37A578F1" w14:textId="30ABA7B0" w:rsidR="001315B5" w:rsidRDefault="00937398" w:rsidP="00AF5C6A">
      <w:pPr>
        <w:spacing w:after="0" w:line="276" w:lineRule="auto"/>
        <w:jc w:val="both"/>
        <w:rPr>
          <w:rFonts w:ascii="Calibri" w:eastAsia="Times New Roman" w:hAnsi="Calibri" w:cs="Calibri"/>
          <w:b/>
          <w:color w:val="000000"/>
          <w:lang w:val="en-GB" w:eastAsia="en-IE"/>
        </w:rPr>
      </w:pPr>
      <w:r w:rsidRPr="00937398">
        <w:rPr>
          <w:rFonts w:ascii="Calibri" w:eastAsia="Times New Roman" w:hAnsi="Calibri" w:cs="Calibri"/>
          <w:bCs/>
          <w:color w:val="000000"/>
          <w:lang w:val="en-GB" w:eastAsia="en-IE"/>
        </w:rPr>
        <w:t xml:space="preserve">Conditioning the free movement on one’s health status is an unjustifiable restriction to this freedom. By introducing a uniform EU format to certify the fulfilment of this health condition, the </w:t>
      </w:r>
      <w:r w:rsidR="00FE2B89" w:rsidRPr="00E765ED">
        <w:rPr>
          <w:rFonts w:ascii="Calibri" w:eastAsia="Times New Roman" w:hAnsi="Calibri" w:cs="Calibri"/>
          <w:bCs/>
          <w:color w:val="000000"/>
          <w:lang w:val="en-GB" w:eastAsia="en-IE"/>
        </w:rPr>
        <w:t>Regulation</w:t>
      </w:r>
      <w:r w:rsidRPr="00937398">
        <w:rPr>
          <w:rFonts w:ascii="Calibri" w:eastAsia="Times New Roman" w:hAnsi="Calibri" w:cs="Calibri"/>
          <w:bCs/>
          <w:color w:val="000000"/>
          <w:lang w:val="en-GB" w:eastAsia="en-IE"/>
        </w:rPr>
        <w:t xml:space="preserve"> anchors in EU law a barrier to the free movement and breaches the principle of free movement within the EU guaranteed in Article 45 of the Charter</w:t>
      </w:r>
      <w:r w:rsidRPr="00937398">
        <w:rPr>
          <w:rFonts w:ascii="Calibri" w:eastAsia="Times New Roman" w:hAnsi="Calibri" w:cs="Calibri"/>
          <w:color w:val="000000"/>
          <w:lang w:val="en-GB" w:eastAsia="en-IE"/>
        </w:rPr>
        <w:t xml:space="preserve"> of Fundamental Rights of the European Union.</w:t>
      </w:r>
    </w:p>
    <w:p w14:paraId="243DB38D" w14:textId="77777777" w:rsidR="001315B5" w:rsidRDefault="001315B5" w:rsidP="00AF5C6A">
      <w:pPr>
        <w:spacing w:after="0" w:line="276" w:lineRule="auto"/>
        <w:jc w:val="both"/>
        <w:rPr>
          <w:rFonts w:ascii="Calibri" w:eastAsia="Times New Roman" w:hAnsi="Calibri" w:cs="Calibri"/>
          <w:b/>
          <w:color w:val="000000"/>
          <w:lang w:val="en-GB" w:eastAsia="en-IE"/>
        </w:rPr>
      </w:pPr>
    </w:p>
    <w:p w14:paraId="61C14809" w14:textId="5CAE2DF3" w:rsidR="00FE2B89"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t xml:space="preserve">The </w:t>
      </w:r>
      <w:r w:rsidRPr="00937398">
        <w:rPr>
          <w:rFonts w:ascii="Calibri" w:eastAsia="Times New Roman" w:hAnsi="Calibri" w:cs="Calibri"/>
          <w:b/>
          <w:color w:val="000000"/>
          <w:lang w:val="en-GB" w:eastAsia="en-IE"/>
        </w:rPr>
        <w:t>Free Movement Directive</w:t>
      </w:r>
      <w:r w:rsidRPr="00937398">
        <w:rPr>
          <w:rFonts w:ascii="Calibri" w:eastAsia="Times New Roman" w:hAnsi="Calibri" w:cs="Calibri"/>
          <w:color w:val="000000"/>
          <w:lang w:val="en-GB" w:eastAsia="en-IE"/>
        </w:rPr>
        <w:t xml:space="preserve"> (Directive 2004/38/CE) </w:t>
      </w:r>
      <w:r w:rsidRPr="00937398">
        <w:rPr>
          <w:rFonts w:ascii="Calibri" w:eastAsia="Times New Roman" w:hAnsi="Calibri" w:cs="Calibri"/>
          <w:b/>
          <w:i/>
          <w:color w:val="000000"/>
          <w:lang w:val="en-GB" w:eastAsia="en-IE"/>
        </w:rPr>
        <w:t>only</w:t>
      </w:r>
      <w:r w:rsidRPr="00937398">
        <w:rPr>
          <w:rFonts w:ascii="Calibri" w:eastAsia="Times New Roman" w:hAnsi="Calibri" w:cs="Calibri"/>
          <w:b/>
          <w:color w:val="000000"/>
          <w:lang w:val="en-GB" w:eastAsia="en-IE"/>
        </w:rPr>
        <w:t xml:space="preserve"> allows limitations to free movement in </w:t>
      </w:r>
      <w:r w:rsidRPr="00937398">
        <w:rPr>
          <w:rFonts w:ascii="Calibri" w:eastAsia="Times New Roman" w:hAnsi="Calibri" w:cs="Calibri"/>
          <w:b/>
          <w:i/>
          <w:color w:val="000000"/>
          <w:lang w:val="en-GB" w:eastAsia="en-IE"/>
        </w:rPr>
        <w:t>individual cases</w:t>
      </w:r>
      <w:r w:rsidRPr="00937398">
        <w:rPr>
          <w:rFonts w:ascii="Calibri" w:eastAsia="Times New Roman" w:hAnsi="Calibri" w:cs="Calibri"/>
          <w:color w:val="000000"/>
          <w:lang w:val="en-GB" w:eastAsia="en-IE"/>
        </w:rPr>
        <w:t xml:space="preserve"> where it also obliges authorities to notify the person about the reasons for which the restrictions are applied and ensure their access to judicial or administrative redress (Articles 29, 30 and 31)</w:t>
      </w:r>
      <w:r w:rsidR="00765DC0">
        <w:rPr>
          <w:rFonts w:ascii="Calibri" w:eastAsia="Times New Roman" w:hAnsi="Calibri" w:cs="Calibri"/>
          <w:color w:val="000000"/>
          <w:lang w:val="en-GB" w:eastAsia="en-IE"/>
        </w:rPr>
        <w:t>.</w:t>
      </w:r>
      <w:r w:rsidRPr="00937398">
        <w:rPr>
          <w:rFonts w:ascii="Calibri" w:eastAsia="Times New Roman" w:hAnsi="Calibri" w:cs="Calibri"/>
          <w:color w:val="000000"/>
          <w:lang w:val="en-GB" w:eastAsia="en-IE"/>
        </w:rPr>
        <w:t xml:space="preserve"> The Legislature visibly left </w:t>
      </w:r>
      <w:r w:rsidRPr="00937398">
        <w:rPr>
          <w:rFonts w:ascii="Calibri" w:eastAsia="Times New Roman" w:hAnsi="Calibri" w:cs="Calibri"/>
          <w:b/>
          <w:color w:val="000000"/>
          <w:lang w:val="en-GB" w:eastAsia="en-IE"/>
        </w:rPr>
        <w:t>no legal ground for blanket decisions</w:t>
      </w:r>
      <w:r w:rsidRPr="00937398">
        <w:rPr>
          <w:rFonts w:ascii="Calibri" w:eastAsia="Times New Roman" w:hAnsi="Calibri" w:cs="Calibri"/>
          <w:color w:val="000000"/>
          <w:lang w:val="en-GB" w:eastAsia="en-IE"/>
        </w:rPr>
        <w:t xml:space="preserve"> allowing restrictions to the freedom of movement, such as the ones intended by this </w:t>
      </w:r>
      <w:r w:rsidR="00FE2B89">
        <w:rPr>
          <w:rFonts w:ascii="Calibri" w:eastAsia="Times New Roman" w:hAnsi="Calibri" w:cs="Calibri"/>
          <w:color w:val="000000"/>
          <w:lang w:val="en-GB" w:eastAsia="en-IE"/>
        </w:rPr>
        <w:t>Regulation</w:t>
      </w:r>
      <w:r w:rsidRPr="00937398">
        <w:rPr>
          <w:rFonts w:ascii="Calibri" w:eastAsia="Times New Roman" w:hAnsi="Calibri" w:cs="Calibri"/>
          <w:color w:val="000000"/>
          <w:lang w:val="en-GB" w:eastAsia="en-IE"/>
        </w:rPr>
        <w:t>.</w:t>
      </w:r>
    </w:p>
    <w:p w14:paraId="331DF640" w14:textId="77777777" w:rsidR="00E765ED" w:rsidRDefault="00E765ED" w:rsidP="00AF5C6A">
      <w:pPr>
        <w:spacing w:after="0" w:line="276" w:lineRule="auto"/>
        <w:jc w:val="both"/>
        <w:rPr>
          <w:rFonts w:ascii="Calibri" w:eastAsia="Times New Roman" w:hAnsi="Calibri" w:cs="Calibri"/>
          <w:color w:val="000000"/>
          <w:lang w:val="en-GB" w:eastAsia="en-IE"/>
        </w:rPr>
      </w:pPr>
    </w:p>
    <w:p w14:paraId="6490ECDA" w14:textId="77777777" w:rsidR="00FE2B89"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t xml:space="preserve">The inviolable respect for the Four Fundamental Freedoms of Movement in the Union - persons, goods, services and capital - is upheld by numerous decisions of the Court of Justice of the EU. </w:t>
      </w:r>
      <w:r w:rsidRPr="00937398">
        <w:rPr>
          <w:rFonts w:ascii="Calibri" w:eastAsia="Times New Roman" w:hAnsi="Calibri" w:cs="Calibri"/>
          <w:b/>
          <w:color w:val="000000"/>
          <w:lang w:val="en-GB" w:eastAsia="en-IE"/>
        </w:rPr>
        <w:t>No less than 76 decisions (by 2016) witness to the inalienable nature of the free movement.</w:t>
      </w:r>
      <w:r w:rsidRPr="00937398">
        <w:rPr>
          <w:rFonts w:ascii="Calibri" w:eastAsia="Times New Roman" w:hAnsi="Calibri" w:cs="Calibri"/>
          <w:color w:val="000000"/>
          <w:lang w:val="en-GB" w:eastAsia="en-IE"/>
        </w:rPr>
        <w:t xml:space="preserve"> In none of them has the Court ruled in favour of any limitation to it and definitely not on health grounds.</w:t>
      </w:r>
    </w:p>
    <w:p w14:paraId="44FBC0B3" w14:textId="77777777" w:rsidR="00FE2B89" w:rsidRDefault="00FE2B89" w:rsidP="00AF5C6A">
      <w:pPr>
        <w:spacing w:after="0" w:line="276" w:lineRule="auto"/>
        <w:jc w:val="both"/>
        <w:rPr>
          <w:rFonts w:ascii="Calibri" w:eastAsia="Times New Roman" w:hAnsi="Calibri" w:cs="Calibri"/>
          <w:color w:val="000000"/>
          <w:lang w:val="en-GB" w:eastAsia="en-IE"/>
        </w:rPr>
      </w:pPr>
    </w:p>
    <w:p w14:paraId="51C5EFC3" w14:textId="781A240C" w:rsidR="00FE2B89"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t xml:space="preserve">Furthermore, it is also obvious that the </w:t>
      </w:r>
      <w:r w:rsidR="00765DC0">
        <w:rPr>
          <w:rFonts w:ascii="Calibri" w:eastAsia="Times New Roman" w:hAnsi="Calibri" w:cs="Calibri"/>
          <w:color w:val="000000"/>
          <w:lang w:val="en-GB" w:eastAsia="en-IE"/>
        </w:rPr>
        <w:t>Regulation</w:t>
      </w:r>
      <w:r w:rsidRPr="00937398">
        <w:rPr>
          <w:rFonts w:ascii="Calibri" w:eastAsia="Times New Roman" w:hAnsi="Calibri" w:cs="Calibri"/>
          <w:color w:val="000000"/>
          <w:lang w:val="en-GB" w:eastAsia="en-IE"/>
        </w:rPr>
        <w:t xml:space="preserve"> is </w:t>
      </w:r>
      <w:r w:rsidRPr="00937398">
        <w:rPr>
          <w:rFonts w:ascii="Calibri" w:eastAsia="Times New Roman" w:hAnsi="Calibri" w:cs="Calibri"/>
          <w:b/>
          <w:color w:val="000000"/>
          <w:lang w:val="en-GB" w:eastAsia="en-IE"/>
        </w:rPr>
        <w:t>reintroducing internal border controls in the Schengen area</w:t>
      </w:r>
      <w:r w:rsidRPr="00937398">
        <w:rPr>
          <w:rFonts w:ascii="Calibri" w:eastAsia="Times New Roman" w:hAnsi="Calibri" w:cs="Calibri"/>
          <w:color w:val="000000"/>
          <w:lang w:val="en-GB" w:eastAsia="en-IE"/>
        </w:rPr>
        <w:t xml:space="preserve">. The existence of the </w:t>
      </w:r>
      <w:r w:rsidR="00FE2B89">
        <w:rPr>
          <w:rFonts w:ascii="Calibri" w:eastAsia="Times New Roman" w:hAnsi="Calibri" w:cs="Calibri"/>
          <w:color w:val="000000"/>
          <w:lang w:val="en-GB" w:eastAsia="en-IE"/>
        </w:rPr>
        <w:t xml:space="preserve">Digital </w:t>
      </w:r>
      <w:r w:rsidRPr="00937398">
        <w:rPr>
          <w:rFonts w:ascii="Calibri" w:eastAsia="Times New Roman" w:hAnsi="Calibri" w:cs="Calibri"/>
          <w:color w:val="000000"/>
          <w:lang w:val="en-GB" w:eastAsia="en-IE"/>
        </w:rPr>
        <w:t>Green Certificate presupposes it, as its verification would be impossible in the absence of such checks</w:t>
      </w:r>
      <w:r w:rsidRPr="00937398">
        <w:rPr>
          <w:rFonts w:ascii="Calibri" w:eastAsia="Times New Roman" w:hAnsi="Calibri" w:cs="Calibri"/>
          <w:b/>
          <w:color w:val="000000"/>
          <w:lang w:val="en-GB" w:eastAsia="en-IE"/>
        </w:rPr>
        <w:t>.</w:t>
      </w:r>
    </w:p>
    <w:p w14:paraId="6013B48B" w14:textId="77777777" w:rsidR="00FE2B89" w:rsidRDefault="00FE2B89" w:rsidP="00AF5C6A">
      <w:pPr>
        <w:spacing w:after="0" w:line="276" w:lineRule="auto"/>
        <w:jc w:val="both"/>
        <w:rPr>
          <w:rFonts w:ascii="Calibri" w:eastAsia="Times New Roman" w:hAnsi="Calibri" w:cs="Calibri"/>
          <w:color w:val="000000"/>
          <w:lang w:val="en-GB" w:eastAsia="en-IE"/>
        </w:rPr>
      </w:pPr>
    </w:p>
    <w:p w14:paraId="61BBE550" w14:textId="14E55C42" w:rsidR="00937398" w:rsidRPr="00937398"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t xml:space="preserve">Finally, and even more worryingly, the </w:t>
      </w:r>
      <w:r w:rsidR="002138E2">
        <w:rPr>
          <w:rFonts w:ascii="Calibri" w:eastAsia="Times New Roman" w:hAnsi="Calibri" w:cs="Calibri"/>
          <w:color w:val="000000"/>
          <w:lang w:val="en-GB" w:eastAsia="en-IE"/>
        </w:rPr>
        <w:t xml:space="preserve">proposal around the </w:t>
      </w:r>
      <w:r w:rsidR="00FE2B89">
        <w:rPr>
          <w:rFonts w:ascii="Calibri" w:eastAsia="Times New Roman" w:hAnsi="Calibri" w:cs="Calibri"/>
          <w:color w:val="000000"/>
          <w:lang w:val="en-GB" w:eastAsia="en-IE"/>
        </w:rPr>
        <w:t xml:space="preserve">Regulation </w:t>
      </w:r>
      <w:r w:rsidRPr="00937398">
        <w:rPr>
          <w:rFonts w:ascii="Calibri" w:eastAsia="Times New Roman" w:hAnsi="Calibri" w:cs="Calibri"/>
          <w:b/>
          <w:color w:val="000000"/>
          <w:lang w:val="en-GB" w:eastAsia="en-IE"/>
        </w:rPr>
        <w:t>provides no guarantee that it cannot be used for further restrictions,</w:t>
      </w:r>
      <w:r w:rsidRPr="00937398">
        <w:rPr>
          <w:rFonts w:ascii="Calibri" w:eastAsia="Times New Roman" w:hAnsi="Calibri" w:cs="Calibri"/>
          <w:color w:val="000000"/>
          <w:lang w:val="en-GB" w:eastAsia="en-IE"/>
        </w:rPr>
        <w:t xml:space="preserve"> be it on the movement of people within or and across national borders, or any other infringement. </w:t>
      </w:r>
    </w:p>
    <w:p w14:paraId="00591398" w14:textId="77777777" w:rsidR="00937398" w:rsidRPr="00937398" w:rsidRDefault="00937398" w:rsidP="00AF5C6A">
      <w:pPr>
        <w:spacing w:after="0" w:line="276" w:lineRule="auto"/>
        <w:jc w:val="both"/>
        <w:rPr>
          <w:rFonts w:ascii="Calibri" w:eastAsia="Times New Roman" w:hAnsi="Calibri" w:cs="Calibri"/>
          <w:color w:val="000000"/>
          <w:lang w:val="en-GB" w:eastAsia="en-IE"/>
        </w:rPr>
      </w:pPr>
    </w:p>
    <w:p w14:paraId="5FBFB7F7" w14:textId="14554907" w:rsidR="00937398" w:rsidRDefault="00937398" w:rsidP="00AF5C6A">
      <w:pPr>
        <w:spacing w:after="0" w:line="276" w:lineRule="auto"/>
        <w:jc w:val="center"/>
        <w:rPr>
          <w:rFonts w:cstheme="minorHAnsi"/>
          <w:b/>
          <w:bCs/>
          <w:i/>
          <w:u w:val="single"/>
          <w:lang w:val="en-GB"/>
        </w:rPr>
      </w:pPr>
      <w:r w:rsidRPr="00937398">
        <w:rPr>
          <w:rFonts w:cstheme="minorHAnsi"/>
          <w:b/>
          <w:bCs/>
          <w:i/>
          <w:u w:val="single"/>
          <w:lang w:val="en-GB"/>
        </w:rPr>
        <w:t xml:space="preserve">Vote ‘NO’ </w:t>
      </w:r>
      <w:r w:rsidR="00FE2B89">
        <w:rPr>
          <w:rFonts w:cstheme="minorHAnsi"/>
          <w:b/>
          <w:bCs/>
          <w:i/>
          <w:u w:val="single"/>
          <w:lang w:val="en-GB"/>
        </w:rPr>
        <w:t xml:space="preserve">to the Regulation </w:t>
      </w:r>
      <w:r w:rsidRPr="00937398">
        <w:rPr>
          <w:rFonts w:cstheme="minorHAnsi"/>
          <w:b/>
          <w:bCs/>
          <w:i/>
          <w:u w:val="single"/>
          <w:lang w:val="en-GB"/>
        </w:rPr>
        <w:t xml:space="preserve">because it lacks </w:t>
      </w:r>
      <w:r w:rsidR="00C26924">
        <w:rPr>
          <w:rFonts w:cstheme="minorHAnsi"/>
          <w:b/>
          <w:bCs/>
          <w:i/>
          <w:u w:val="single"/>
          <w:lang w:val="en-GB"/>
        </w:rPr>
        <w:t>C</w:t>
      </w:r>
      <w:r w:rsidRPr="00937398">
        <w:rPr>
          <w:rFonts w:cstheme="minorHAnsi"/>
          <w:b/>
          <w:bCs/>
          <w:i/>
          <w:u w:val="single"/>
          <w:lang w:val="en-GB"/>
        </w:rPr>
        <w:t>lear</w:t>
      </w:r>
      <w:r w:rsidR="00C26924">
        <w:rPr>
          <w:rFonts w:cstheme="minorHAnsi"/>
          <w:b/>
          <w:bCs/>
          <w:i/>
          <w:u w:val="single"/>
          <w:lang w:val="en-GB"/>
        </w:rPr>
        <w:t xml:space="preserve"> P</w:t>
      </w:r>
      <w:r w:rsidRPr="00937398">
        <w:rPr>
          <w:rFonts w:cstheme="minorHAnsi"/>
          <w:b/>
          <w:bCs/>
          <w:i/>
          <w:u w:val="single"/>
          <w:lang w:val="en-GB"/>
        </w:rPr>
        <w:t xml:space="preserve">urpose and has no </w:t>
      </w:r>
      <w:r w:rsidR="00C26924">
        <w:rPr>
          <w:rFonts w:cstheme="minorHAnsi"/>
          <w:b/>
          <w:bCs/>
          <w:i/>
          <w:u w:val="single"/>
          <w:lang w:val="en-GB"/>
        </w:rPr>
        <w:t>L</w:t>
      </w:r>
      <w:r w:rsidRPr="00937398">
        <w:rPr>
          <w:rFonts w:cstheme="minorHAnsi"/>
          <w:b/>
          <w:bCs/>
          <w:i/>
          <w:u w:val="single"/>
          <w:lang w:val="en-GB"/>
        </w:rPr>
        <w:t xml:space="preserve">egal </w:t>
      </w:r>
      <w:r w:rsidR="00C26924">
        <w:rPr>
          <w:rFonts w:cstheme="minorHAnsi"/>
          <w:b/>
          <w:bCs/>
          <w:i/>
          <w:u w:val="single"/>
          <w:lang w:val="en-GB"/>
        </w:rPr>
        <w:t>C</w:t>
      </w:r>
      <w:r w:rsidRPr="00937398">
        <w:rPr>
          <w:rFonts w:cstheme="minorHAnsi"/>
          <w:b/>
          <w:bCs/>
          <w:i/>
          <w:u w:val="single"/>
          <w:lang w:val="en-GB"/>
        </w:rPr>
        <w:t>ertainty</w:t>
      </w:r>
    </w:p>
    <w:p w14:paraId="37C90403" w14:textId="77777777" w:rsidR="00E765ED" w:rsidRDefault="00E765ED" w:rsidP="00AF5C6A">
      <w:pPr>
        <w:pStyle w:val="ListParagraph"/>
        <w:spacing w:after="0" w:line="276" w:lineRule="auto"/>
        <w:jc w:val="both"/>
        <w:rPr>
          <w:rFonts w:ascii="Calibri" w:eastAsia="Times New Roman" w:hAnsi="Calibri" w:cs="Calibri"/>
          <w:b/>
          <w:bCs/>
          <w:color w:val="000000"/>
          <w:lang w:val="en-US" w:eastAsia="en-IE"/>
        </w:rPr>
      </w:pPr>
    </w:p>
    <w:p w14:paraId="256776ED" w14:textId="30CE05D5" w:rsidR="00937398" w:rsidRPr="00E765ED" w:rsidRDefault="00E765ED" w:rsidP="00AF5C6A">
      <w:pPr>
        <w:pStyle w:val="ListParagraph"/>
        <w:spacing w:after="0" w:line="276" w:lineRule="auto"/>
        <w:ind w:left="0"/>
        <w:jc w:val="both"/>
        <w:rPr>
          <w:rFonts w:ascii="Calibri" w:eastAsia="Times New Roman" w:hAnsi="Calibri" w:cs="Calibri"/>
          <w:color w:val="000000"/>
          <w:lang w:val="en-US" w:eastAsia="en-IE"/>
        </w:rPr>
      </w:pPr>
      <w:r>
        <w:rPr>
          <w:rFonts w:ascii="Calibri" w:eastAsia="Times New Roman" w:hAnsi="Calibri" w:cs="Calibri"/>
          <w:b/>
          <w:bCs/>
          <w:color w:val="000000"/>
          <w:lang w:val="en-US" w:eastAsia="en-IE"/>
        </w:rPr>
        <w:t xml:space="preserve">1. </w:t>
      </w:r>
      <w:r w:rsidR="00937398" w:rsidRPr="00E765ED">
        <w:rPr>
          <w:rFonts w:ascii="Calibri" w:eastAsia="Times New Roman" w:hAnsi="Calibri" w:cs="Calibri"/>
          <w:b/>
          <w:bCs/>
          <w:color w:val="000000"/>
          <w:lang w:val="en-US" w:eastAsia="en-IE"/>
        </w:rPr>
        <w:t>Purpose and Certainty</w:t>
      </w:r>
    </w:p>
    <w:p w14:paraId="7157F579" w14:textId="7FCD1FE6" w:rsidR="00937398"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t xml:space="preserve">European law must be clear, precise, and have foreseeable implications. It must have a certain purpose. While the </w:t>
      </w:r>
      <w:r w:rsidR="00FE2B89">
        <w:rPr>
          <w:rFonts w:ascii="Calibri" w:eastAsia="Times New Roman" w:hAnsi="Calibri" w:cs="Calibri"/>
          <w:color w:val="000000"/>
          <w:lang w:val="en-GB" w:eastAsia="en-IE"/>
        </w:rPr>
        <w:t>“</w:t>
      </w:r>
      <w:r w:rsidRPr="00937398">
        <w:rPr>
          <w:rFonts w:ascii="Calibri" w:eastAsia="Times New Roman" w:hAnsi="Calibri" w:cs="Calibri"/>
          <w:i/>
          <w:iCs/>
          <w:color w:val="000000"/>
          <w:lang w:val="en-GB" w:eastAsia="en-IE"/>
        </w:rPr>
        <w:t>Explanatory Memorandum</w:t>
      </w:r>
      <w:r w:rsidR="00FE2B89">
        <w:rPr>
          <w:rFonts w:ascii="Calibri" w:eastAsia="Times New Roman" w:hAnsi="Calibri" w:cs="Calibri"/>
          <w:color w:val="000000"/>
          <w:lang w:val="en-GB" w:eastAsia="en-IE"/>
        </w:rPr>
        <w:t>”</w:t>
      </w:r>
      <w:r w:rsidRPr="00937398">
        <w:rPr>
          <w:rFonts w:ascii="Calibri" w:eastAsia="Times New Roman" w:hAnsi="Calibri" w:cs="Calibri"/>
          <w:color w:val="000000"/>
          <w:lang w:val="en-GB" w:eastAsia="en-IE"/>
        </w:rPr>
        <w:t xml:space="preserve"> alludes to "</w:t>
      </w:r>
      <w:r w:rsidRPr="00937398">
        <w:rPr>
          <w:rFonts w:ascii="Calibri" w:eastAsia="Times New Roman" w:hAnsi="Calibri" w:cs="Calibri"/>
          <w:i/>
          <w:iCs/>
          <w:color w:val="000000"/>
          <w:lang w:val="en-GB" w:eastAsia="en-IE"/>
        </w:rPr>
        <w:t>facilitating free movement</w:t>
      </w:r>
      <w:r w:rsidRPr="00937398">
        <w:rPr>
          <w:rFonts w:ascii="Calibri" w:eastAsia="Times New Roman" w:hAnsi="Calibri" w:cs="Calibri"/>
          <w:color w:val="000000"/>
          <w:lang w:val="en-GB" w:eastAsia="en-IE"/>
        </w:rPr>
        <w:t>", the operational part of the proposal contains no stated purpose.</w:t>
      </w:r>
    </w:p>
    <w:p w14:paraId="7B4DC9D0" w14:textId="77777777" w:rsidR="00FE2B89" w:rsidRPr="00937398" w:rsidRDefault="00FE2B89" w:rsidP="00AF5C6A">
      <w:pPr>
        <w:spacing w:after="0" w:line="276" w:lineRule="auto"/>
        <w:jc w:val="both"/>
        <w:rPr>
          <w:rFonts w:ascii="Calibri" w:eastAsia="Times New Roman" w:hAnsi="Calibri" w:cs="Calibri"/>
          <w:color w:val="000000"/>
          <w:lang w:val="en-GB" w:eastAsia="en-IE"/>
        </w:rPr>
      </w:pPr>
    </w:p>
    <w:p w14:paraId="56711359" w14:textId="0B391B9A" w:rsidR="00937398" w:rsidRPr="00937398" w:rsidRDefault="00E765ED" w:rsidP="00AF5C6A">
      <w:pPr>
        <w:spacing w:after="0" w:line="276" w:lineRule="auto"/>
        <w:jc w:val="both"/>
        <w:rPr>
          <w:rFonts w:ascii="Calibri" w:eastAsia="Times New Roman" w:hAnsi="Calibri" w:cs="Calibri"/>
          <w:b/>
          <w:bCs/>
          <w:color w:val="000000"/>
          <w:lang w:val="en-GB" w:eastAsia="en-IE"/>
        </w:rPr>
      </w:pPr>
      <w:r>
        <w:rPr>
          <w:rFonts w:ascii="Calibri" w:eastAsia="Times New Roman" w:hAnsi="Calibri" w:cs="Calibri"/>
          <w:b/>
          <w:bCs/>
          <w:color w:val="000000"/>
          <w:lang w:val="en-GB" w:eastAsia="en-IE"/>
        </w:rPr>
        <w:t xml:space="preserve">2. </w:t>
      </w:r>
      <w:r w:rsidR="00937398" w:rsidRPr="00937398">
        <w:rPr>
          <w:rFonts w:ascii="Calibri" w:eastAsia="Times New Roman" w:hAnsi="Calibri" w:cs="Calibri"/>
          <w:b/>
          <w:bCs/>
          <w:color w:val="000000"/>
          <w:lang w:val="en-GB" w:eastAsia="en-IE"/>
        </w:rPr>
        <w:t>EU Court of Justice asked for objective evidence that the law pursues no other end than the one stated (Giuffrida v Commission [1976] ECR 1395 Case 105/75)</w:t>
      </w:r>
    </w:p>
    <w:p w14:paraId="65E0EF71" w14:textId="5A22982A" w:rsidR="00FE2B89"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t xml:space="preserve">While the </w:t>
      </w:r>
      <w:r w:rsidR="002138E2">
        <w:rPr>
          <w:rFonts w:ascii="Calibri" w:eastAsia="Times New Roman" w:hAnsi="Calibri" w:cs="Calibri"/>
          <w:color w:val="000000"/>
          <w:lang w:val="en-GB" w:eastAsia="en-IE"/>
        </w:rPr>
        <w:t>proposal</w:t>
      </w:r>
      <w:r w:rsidRPr="00937398">
        <w:rPr>
          <w:rFonts w:ascii="Calibri" w:eastAsia="Times New Roman" w:hAnsi="Calibri" w:cs="Calibri"/>
          <w:color w:val="000000"/>
          <w:lang w:val="en-GB" w:eastAsia="en-IE"/>
        </w:rPr>
        <w:t xml:space="preserve"> does not openly state the purpose of facilitating free movement, it provides clear, precise and objective language concerning restrictions to freedom of movement:</w:t>
      </w:r>
    </w:p>
    <w:p w14:paraId="59C1E9C5" w14:textId="77777777" w:rsidR="00FE2B89" w:rsidRPr="00937398" w:rsidRDefault="00FE2B89" w:rsidP="00AF5C6A">
      <w:pPr>
        <w:spacing w:after="0" w:line="276" w:lineRule="auto"/>
        <w:jc w:val="both"/>
        <w:rPr>
          <w:rFonts w:ascii="Calibri" w:eastAsia="Times New Roman" w:hAnsi="Calibri" w:cs="Calibri"/>
          <w:color w:val="000000"/>
          <w:lang w:val="en-GB" w:eastAsia="en-IE"/>
        </w:rPr>
      </w:pPr>
    </w:p>
    <w:p w14:paraId="54FFAB15" w14:textId="19F8FB12" w:rsidR="00FE2B89" w:rsidRDefault="00937398" w:rsidP="00AF5C6A">
      <w:pPr>
        <w:pStyle w:val="ListParagraph"/>
        <w:numPr>
          <w:ilvl w:val="0"/>
          <w:numId w:val="10"/>
        </w:numPr>
        <w:spacing w:after="0" w:line="276" w:lineRule="auto"/>
        <w:jc w:val="both"/>
        <w:rPr>
          <w:rFonts w:ascii="Calibri" w:eastAsia="Times New Roman" w:hAnsi="Calibri" w:cs="Calibri"/>
          <w:color w:val="000000"/>
          <w:lang w:val="en-GB" w:eastAsia="en-IE"/>
        </w:rPr>
      </w:pPr>
      <w:r w:rsidRPr="00FE2B89">
        <w:rPr>
          <w:rFonts w:ascii="Calibri" w:eastAsia="Times New Roman" w:hAnsi="Calibri" w:cs="Calibri"/>
          <w:color w:val="000000"/>
          <w:lang w:val="en-GB" w:eastAsia="en-IE"/>
        </w:rPr>
        <w:t xml:space="preserve">Recital 6 refers to those movement restrictions which are </w:t>
      </w:r>
      <w:r w:rsidR="00765DC0">
        <w:rPr>
          <w:rFonts w:ascii="Calibri" w:eastAsia="Times New Roman" w:hAnsi="Calibri" w:cs="Calibri"/>
          <w:color w:val="000000"/>
          <w:lang w:val="en-GB" w:eastAsia="en-IE"/>
        </w:rPr>
        <w:t>“</w:t>
      </w:r>
      <w:r w:rsidRPr="00765DC0">
        <w:rPr>
          <w:rFonts w:ascii="Calibri" w:eastAsia="Times New Roman" w:hAnsi="Calibri" w:cs="Calibri"/>
          <w:i/>
          <w:iCs/>
          <w:color w:val="000000"/>
          <w:lang w:val="en-GB" w:eastAsia="en-IE"/>
        </w:rPr>
        <w:t>necessary to safeguard public health</w:t>
      </w:r>
      <w:r w:rsidR="00765DC0" w:rsidRPr="00765DC0">
        <w:rPr>
          <w:rFonts w:ascii="Calibri" w:eastAsia="Times New Roman" w:hAnsi="Calibri" w:cs="Calibri"/>
          <w:i/>
          <w:iCs/>
          <w:color w:val="000000"/>
          <w:lang w:val="en-GB" w:eastAsia="en-IE"/>
        </w:rPr>
        <w:t>”</w:t>
      </w:r>
      <w:r w:rsidRPr="00765DC0">
        <w:rPr>
          <w:rFonts w:ascii="Calibri" w:eastAsia="Times New Roman" w:hAnsi="Calibri" w:cs="Calibri"/>
          <w:i/>
          <w:iCs/>
          <w:color w:val="000000"/>
          <w:lang w:val="en-GB" w:eastAsia="en-IE"/>
        </w:rPr>
        <w:t>,</w:t>
      </w:r>
      <w:r w:rsidRPr="00FE2B89">
        <w:rPr>
          <w:rFonts w:ascii="Calibri" w:eastAsia="Times New Roman" w:hAnsi="Calibri" w:cs="Calibri"/>
          <w:color w:val="000000"/>
          <w:lang w:val="en-GB" w:eastAsia="en-IE"/>
        </w:rPr>
        <w:t xml:space="preserve"> and which are considered a priori proportional and non-discriminatory.</w:t>
      </w:r>
    </w:p>
    <w:p w14:paraId="18BFD89F" w14:textId="725B8182" w:rsidR="00937398" w:rsidRDefault="00937398" w:rsidP="00AF5C6A">
      <w:pPr>
        <w:pStyle w:val="ListParagraph"/>
        <w:numPr>
          <w:ilvl w:val="0"/>
          <w:numId w:val="10"/>
        </w:numPr>
        <w:spacing w:after="0" w:line="276" w:lineRule="auto"/>
        <w:jc w:val="both"/>
        <w:rPr>
          <w:rFonts w:ascii="Calibri" w:eastAsia="Times New Roman" w:hAnsi="Calibri" w:cs="Calibri"/>
          <w:color w:val="000000"/>
          <w:lang w:val="en-GB" w:eastAsia="en-IE"/>
        </w:rPr>
      </w:pPr>
      <w:r w:rsidRPr="00FE2B89">
        <w:rPr>
          <w:rFonts w:ascii="Calibri" w:eastAsia="Times New Roman" w:hAnsi="Calibri" w:cs="Calibri"/>
          <w:color w:val="000000"/>
          <w:lang w:val="en-GB" w:eastAsia="en-IE"/>
        </w:rPr>
        <w:t xml:space="preserve">Recital 7 tells us that it would be unlawful to restrict movement of people who cannot infect others, as this would </w:t>
      </w:r>
      <w:r w:rsidR="00765DC0">
        <w:rPr>
          <w:rFonts w:ascii="Calibri" w:eastAsia="Times New Roman" w:hAnsi="Calibri" w:cs="Calibri"/>
          <w:color w:val="000000"/>
          <w:lang w:val="en-GB" w:eastAsia="en-IE"/>
        </w:rPr>
        <w:t>“</w:t>
      </w:r>
      <w:r w:rsidRPr="00765DC0">
        <w:rPr>
          <w:rFonts w:ascii="Calibri" w:eastAsia="Times New Roman" w:hAnsi="Calibri" w:cs="Calibri"/>
          <w:i/>
          <w:iCs/>
          <w:color w:val="000000"/>
          <w:lang w:val="en-GB" w:eastAsia="en-IE"/>
        </w:rPr>
        <w:t>not be necessary to achieve the objective pursued.</w:t>
      </w:r>
      <w:r w:rsidR="00765DC0" w:rsidRPr="00765DC0">
        <w:rPr>
          <w:rFonts w:ascii="Calibri" w:eastAsia="Times New Roman" w:hAnsi="Calibri" w:cs="Calibri"/>
          <w:i/>
          <w:iCs/>
          <w:color w:val="000000"/>
          <w:lang w:val="en-GB" w:eastAsia="en-IE"/>
        </w:rPr>
        <w:t>”</w:t>
      </w:r>
    </w:p>
    <w:p w14:paraId="3DD71055" w14:textId="77777777" w:rsidR="00FE2B89" w:rsidRPr="00FE2B89" w:rsidRDefault="00FE2B89" w:rsidP="00AF5C6A">
      <w:pPr>
        <w:pStyle w:val="ListParagraph"/>
        <w:spacing w:after="0" w:line="276" w:lineRule="auto"/>
        <w:jc w:val="both"/>
        <w:rPr>
          <w:rFonts w:ascii="Calibri" w:eastAsia="Times New Roman" w:hAnsi="Calibri" w:cs="Calibri"/>
          <w:color w:val="000000"/>
          <w:lang w:val="en-GB" w:eastAsia="en-IE"/>
        </w:rPr>
      </w:pPr>
    </w:p>
    <w:p w14:paraId="12E5FF51" w14:textId="19328908" w:rsidR="00937398" w:rsidRPr="00937398"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t>The two above provisions seem to indicate other objectives than facilitating free movement</w:t>
      </w:r>
      <w:r w:rsidR="00765DC0">
        <w:rPr>
          <w:rFonts w:ascii="Calibri" w:eastAsia="Times New Roman" w:hAnsi="Calibri" w:cs="Calibri"/>
          <w:color w:val="000000"/>
          <w:lang w:val="en-GB" w:eastAsia="en-IE"/>
        </w:rPr>
        <w:t>, such as</w:t>
      </w:r>
      <w:r w:rsidRPr="00937398">
        <w:rPr>
          <w:rFonts w:ascii="Calibri" w:eastAsia="Times New Roman" w:hAnsi="Calibri" w:cs="Calibri"/>
          <w:color w:val="000000"/>
          <w:lang w:val="en-GB" w:eastAsia="en-IE"/>
        </w:rPr>
        <w:t>: </w:t>
      </w:r>
    </w:p>
    <w:p w14:paraId="1C8078B5" w14:textId="52F8197D" w:rsidR="00937398" w:rsidRPr="00FE2B89" w:rsidRDefault="00937398" w:rsidP="00AF5C6A">
      <w:pPr>
        <w:pStyle w:val="ListParagraph"/>
        <w:numPr>
          <w:ilvl w:val="0"/>
          <w:numId w:val="11"/>
        </w:numPr>
        <w:spacing w:after="0" w:line="276" w:lineRule="auto"/>
        <w:jc w:val="both"/>
        <w:rPr>
          <w:rFonts w:ascii="Calibri" w:eastAsia="Times New Roman" w:hAnsi="Calibri" w:cs="Calibri"/>
          <w:b/>
          <w:bCs/>
          <w:i/>
          <w:iCs/>
          <w:color w:val="000000"/>
          <w:lang w:val="en-GB" w:eastAsia="en-IE"/>
        </w:rPr>
      </w:pPr>
      <w:r w:rsidRPr="00FE2B89">
        <w:rPr>
          <w:rFonts w:ascii="Calibri" w:eastAsia="Times New Roman" w:hAnsi="Calibri" w:cs="Calibri"/>
          <w:b/>
          <w:bCs/>
          <w:i/>
          <w:iCs/>
          <w:color w:val="000000"/>
          <w:lang w:val="en-GB" w:eastAsia="en-IE"/>
        </w:rPr>
        <w:t>Restrictions to the movement of healthy people</w:t>
      </w:r>
    </w:p>
    <w:p w14:paraId="07A366AA" w14:textId="5DFA82A4" w:rsidR="00937398" w:rsidRDefault="00765DC0" w:rsidP="00AF5C6A">
      <w:pPr>
        <w:spacing w:after="0" w:line="276" w:lineRule="auto"/>
        <w:jc w:val="both"/>
        <w:rPr>
          <w:rFonts w:ascii="Calibri" w:eastAsia="Times New Roman" w:hAnsi="Calibri" w:cs="Calibri"/>
          <w:color w:val="000000"/>
          <w:lang w:val="en-GB" w:eastAsia="en-IE"/>
        </w:rPr>
      </w:pPr>
      <w:r>
        <w:rPr>
          <w:rFonts w:ascii="Calibri" w:eastAsia="Times New Roman" w:hAnsi="Calibri" w:cs="Calibri"/>
          <w:color w:val="000000"/>
          <w:lang w:val="en-GB" w:eastAsia="en-IE"/>
        </w:rPr>
        <w:lastRenderedPageBreak/>
        <w:tab/>
      </w:r>
      <w:r>
        <w:rPr>
          <w:rFonts w:ascii="Calibri" w:eastAsia="Times New Roman" w:hAnsi="Calibri" w:cs="Calibri"/>
          <w:color w:val="000000"/>
          <w:lang w:val="en-GB" w:eastAsia="en-IE"/>
        </w:rPr>
        <w:tab/>
      </w:r>
      <w:r w:rsidR="00937398" w:rsidRPr="00937398">
        <w:rPr>
          <w:rFonts w:ascii="Calibri" w:eastAsia="Times New Roman" w:hAnsi="Calibri" w:cs="Calibri"/>
          <w:color w:val="000000"/>
          <w:lang w:val="en-GB" w:eastAsia="en-IE"/>
        </w:rPr>
        <w:t xml:space="preserve">Although not explicitly recognised by the proposal, border guards must perform </w:t>
      </w:r>
      <w:r>
        <w:rPr>
          <w:rFonts w:ascii="Calibri" w:eastAsia="Times New Roman" w:hAnsi="Calibri" w:cs="Calibri"/>
          <w:color w:val="000000"/>
          <w:lang w:val="en-GB" w:eastAsia="en-IE"/>
        </w:rPr>
        <w:tab/>
      </w:r>
      <w:r>
        <w:rPr>
          <w:rFonts w:ascii="Calibri" w:eastAsia="Times New Roman" w:hAnsi="Calibri" w:cs="Calibri"/>
          <w:color w:val="000000"/>
          <w:lang w:val="en-GB" w:eastAsia="en-IE"/>
        </w:rPr>
        <w:tab/>
      </w:r>
      <w:r>
        <w:rPr>
          <w:rFonts w:ascii="Calibri" w:eastAsia="Times New Roman" w:hAnsi="Calibri" w:cs="Calibri"/>
          <w:color w:val="000000"/>
          <w:lang w:val="en-GB" w:eastAsia="en-IE"/>
        </w:rPr>
        <w:tab/>
      </w:r>
      <w:r w:rsidR="00937398" w:rsidRPr="00937398">
        <w:rPr>
          <w:rFonts w:ascii="Calibri" w:eastAsia="Times New Roman" w:hAnsi="Calibri" w:cs="Calibri"/>
          <w:color w:val="000000"/>
          <w:lang w:val="en-GB" w:eastAsia="en-IE"/>
        </w:rPr>
        <w:t xml:space="preserve">checks on all travellers, including those immune, so that they can verify the </w:t>
      </w:r>
      <w:r>
        <w:rPr>
          <w:rFonts w:ascii="Calibri" w:eastAsia="Times New Roman" w:hAnsi="Calibri" w:cs="Calibri"/>
          <w:color w:val="000000"/>
          <w:lang w:val="en-GB" w:eastAsia="en-IE"/>
        </w:rPr>
        <w:tab/>
      </w:r>
      <w:r>
        <w:rPr>
          <w:rFonts w:ascii="Calibri" w:eastAsia="Times New Roman" w:hAnsi="Calibri" w:cs="Calibri"/>
          <w:color w:val="000000"/>
          <w:lang w:val="en-GB" w:eastAsia="en-IE"/>
        </w:rPr>
        <w:tab/>
      </w:r>
      <w:r>
        <w:rPr>
          <w:rFonts w:ascii="Calibri" w:eastAsia="Times New Roman" w:hAnsi="Calibri" w:cs="Calibri"/>
          <w:color w:val="000000"/>
          <w:lang w:val="en-GB" w:eastAsia="en-IE"/>
        </w:rPr>
        <w:tab/>
      </w:r>
      <w:r w:rsidR="002138E2" w:rsidRPr="00937398">
        <w:rPr>
          <w:rFonts w:ascii="Calibri" w:eastAsia="Times New Roman" w:hAnsi="Calibri" w:cs="Calibri"/>
          <w:color w:val="000000"/>
          <w:lang w:val="en-GB" w:eastAsia="en-IE"/>
        </w:rPr>
        <w:t>Green Digital Certificate</w:t>
      </w:r>
      <w:r w:rsidR="00937398" w:rsidRPr="00937398">
        <w:rPr>
          <w:rFonts w:ascii="Calibri" w:eastAsia="Times New Roman" w:hAnsi="Calibri" w:cs="Calibri"/>
          <w:color w:val="000000"/>
          <w:lang w:val="en-GB" w:eastAsia="en-IE"/>
        </w:rPr>
        <w:t xml:space="preserve">. In the absence of such checks, the </w:t>
      </w:r>
      <w:r w:rsidR="002138E2" w:rsidRPr="00937398">
        <w:rPr>
          <w:rFonts w:ascii="Calibri" w:eastAsia="Times New Roman" w:hAnsi="Calibri" w:cs="Calibri"/>
          <w:color w:val="000000"/>
          <w:lang w:val="en-GB" w:eastAsia="en-IE"/>
        </w:rPr>
        <w:t xml:space="preserve">Green Digital Certificate </w:t>
      </w:r>
      <w:r w:rsidR="002138E2">
        <w:rPr>
          <w:rFonts w:ascii="Calibri" w:eastAsia="Times New Roman" w:hAnsi="Calibri" w:cs="Calibri"/>
          <w:color w:val="000000"/>
          <w:lang w:val="en-GB" w:eastAsia="en-IE"/>
        </w:rPr>
        <w:tab/>
      </w:r>
      <w:r w:rsidR="002138E2">
        <w:rPr>
          <w:rFonts w:ascii="Calibri" w:eastAsia="Times New Roman" w:hAnsi="Calibri" w:cs="Calibri"/>
          <w:color w:val="000000"/>
          <w:lang w:val="en-GB" w:eastAsia="en-IE"/>
        </w:rPr>
        <w:tab/>
      </w:r>
      <w:r w:rsidR="00937398" w:rsidRPr="00937398">
        <w:rPr>
          <w:rFonts w:ascii="Calibri" w:eastAsia="Times New Roman" w:hAnsi="Calibri" w:cs="Calibri"/>
          <w:color w:val="000000"/>
          <w:lang w:val="en-GB" w:eastAsia="en-IE"/>
        </w:rPr>
        <w:t xml:space="preserve">would have no useful effect. </w:t>
      </w:r>
    </w:p>
    <w:p w14:paraId="506EC5A2" w14:textId="77777777" w:rsidR="00765DC0" w:rsidRPr="00937398" w:rsidRDefault="00765DC0" w:rsidP="00AF5C6A">
      <w:pPr>
        <w:spacing w:after="0" w:line="276" w:lineRule="auto"/>
        <w:jc w:val="both"/>
        <w:rPr>
          <w:rFonts w:ascii="Calibri" w:eastAsia="Times New Roman" w:hAnsi="Calibri" w:cs="Calibri"/>
          <w:color w:val="000000"/>
          <w:lang w:val="en-GB" w:eastAsia="en-IE"/>
        </w:rPr>
      </w:pPr>
    </w:p>
    <w:p w14:paraId="22A62FFF" w14:textId="066FE5AB" w:rsidR="00937398" w:rsidRPr="00FE2B89" w:rsidRDefault="00937398" w:rsidP="00AF5C6A">
      <w:pPr>
        <w:pStyle w:val="ListParagraph"/>
        <w:numPr>
          <w:ilvl w:val="0"/>
          <w:numId w:val="11"/>
        </w:numPr>
        <w:spacing w:after="0" w:line="276" w:lineRule="auto"/>
        <w:jc w:val="both"/>
        <w:rPr>
          <w:rFonts w:ascii="Calibri" w:eastAsia="Times New Roman" w:hAnsi="Calibri" w:cs="Calibri"/>
          <w:color w:val="000000"/>
          <w:lang w:val="en-US" w:eastAsia="en-IE"/>
        </w:rPr>
      </w:pPr>
      <w:r w:rsidRPr="00FE2B89">
        <w:rPr>
          <w:rFonts w:ascii="Calibri" w:eastAsia="Times New Roman" w:hAnsi="Calibri" w:cs="Calibri"/>
          <w:b/>
          <w:bCs/>
          <w:i/>
          <w:iCs/>
          <w:color w:val="000000"/>
          <w:lang w:val="en-US" w:eastAsia="en-IE"/>
        </w:rPr>
        <w:t>Undue Harmonization of Health Policy</w:t>
      </w:r>
    </w:p>
    <w:p w14:paraId="5C8C11DE" w14:textId="44954B9B" w:rsidR="00937398" w:rsidRPr="00937398" w:rsidRDefault="00765DC0" w:rsidP="00AF5C6A">
      <w:pPr>
        <w:spacing w:after="0" w:line="276" w:lineRule="auto"/>
        <w:jc w:val="both"/>
        <w:rPr>
          <w:rFonts w:ascii="Calibri" w:eastAsia="Times New Roman" w:hAnsi="Calibri" w:cs="Calibri"/>
          <w:color w:val="000000"/>
          <w:lang w:val="en-US" w:eastAsia="en-IE"/>
        </w:rPr>
      </w:pPr>
      <w:r>
        <w:rPr>
          <w:rFonts w:ascii="Calibri" w:eastAsia="Times New Roman" w:hAnsi="Calibri" w:cs="Calibri"/>
          <w:color w:val="000000"/>
          <w:lang w:val="en-US" w:eastAsia="en-IE"/>
        </w:rPr>
        <w:tab/>
      </w:r>
      <w:r>
        <w:rPr>
          <w:rFonts w:ascii="Calibri" w:eastAsia="Times New Roman" w:hAnsi="Calibri" w:cs="Calibri"/>
          <w:color w:val="000000"/>
          <w:lang w:val="en-US" w:eastAsia="en-IE"/>
        </w:rPr>
        <w:tab/>
      </w:r>
      <w:r w:rsidR="00937398" w:rsidRPr="00937398">
        <w:rPr>
          <w:rFonts w:ascii="Calibri" w:eastAsia="Times New Roman" w:hAnsi="Calibri" w:cs="Calibri"/>
          <w:color w:val="000000"/>
          <w:lang w:val="en-US" w:eastAsia="en-IE"/>
        </w:rPr>
        <w:t xml:space="preserve">Although Article 168(7) TFEU prevents the EU from taking responsibility away from </w:t>
      </w:r>
      <w:r>
        <w:rPr>
          <w:rFonts w:ascii="Calibri" w:eastAsia="Times New Roman" w:hAnsi="Calibri" w:cs="Calibri"/>
          <w:color w:val="000000"/>
          <w:lang w:val="en-US" w:eastAsia="en-IE"/>
        </w:rPr>
        <w:tab/>
      </w:r>
      <w:r>
        <w:rPr>
          <w:rFonts w:ascii="Calibri" w:eastAsia="Times New Roman" w:hAnsi="Calibri" w:cs="Calibri"/>
          <w:color w:val="000000"/>
          <w:lang w:val="en-US" w:eastAsia="en-IE"/>
        </w:rPr>
        <w:tab/>
      </w:r>
      <w:r w:rsidR="00937398" w:rsidRPr="00937398">
        <w:rPr>
          <w:rFonts w:ascii="Calibri" w:eastAsia="Times New Roman" w:hAnsi="Calibri" w:cs="Calibri"/>
          <w:color w:val="000000"/>
          <w:lang w:val="en-US" w:eastAsia="en-IE"/>
        </w:rPr>
        <w:t xml:space="preserve">the Member States </w:t>
      </w:r>
      <w:r>
        <w:rPr>
          <w:rFonts w:ascii="Calibri" w:eastAsia="Times New Roman" w:hAnsi="Calibri" w:cs="Calibri"/>
          <w:color w:val="000000"/>
          <w:lang w:val="en-US" w:eastAsia="en-IE"/>
        </w:rPr>
        <w:t>“</w:t>
      </w:r>
      <w:r w:rsidR="00937398" w:rsidRPr="00937398">
        <w:rPr>
          <w:rFonts w:ascii="Calibri" w:eastAsia="Times New Roman" w:hAnsi="Calibri" w:cs="Calibri"/>
          <w:i/>
          <w:iCs/>
          <w:color w:val="000000"/>
          <w:lang w:val="en-US" w:eastAsia="en-IE"/>
        </w:rPr>
        <w:t xml:space="preserve">for the definition of their health policy and for the organization </w:t>
      </w:r>
      <w:r w:rsidRPr="00765DC0">
        <w:rPr>
          <w:rFonts w:ascii="Calibri" w:eastAsia="Times New Roman" w:hAnsi="Calibri" w:cs="Calibri"/>
          <w:i/>
          <w:iCs/>
          <w:color w:val="000000"/>
          <w:lang w:val="en-US" w:eastAsia="en-IE"/>
        </w:rPr>
        <w:tab/>
      </w:r>
      <w:r w:rsidRPr="00765DC0">
        <w:rPr>
          <w:rFonts w:ascii="Calibri" w:eastAsia="Times New Roman" w:hAnsi="Calibri" w:cs="Calibri"/>
          <w:i/>
          <w:iCs/>
          <w:color w:val="000000"/>
          <w:lang w:val="en-US" w:eastAsia="en-IE"/>
        </w:rPr>
        <w:tab/>
      </w:r>
      <w:r w:rsidR="00937398" w:rsidRPr="00937398">
        <w:rPr>
          <w:rFonts w:ascii="Calibri" w:eastAsia="Times New Roman" w:hAnsi="Calibri" w:cs="Calibri"/>
          <w:i/>
          <w:iCs/>
          <w:color w:val="000000"/>
          <w:lang w:val="en-US" w:eastAsia="en-IE"/>
        </w:rPr>
        <w:t>and delivery of health services and medical care,</w:t>
      </w:r>
      <w:r w:rsidRPr="00765DC0">
        <w:rPr>
          <w:rFonts w:ascii="Calibri" w:eastAsia="Times New Roman" w:hAnsi="Calibri" w:cs="Calibri"/>
          <w:i/>
          <w:iCs/>
          <w:color w:val="000000"/>
          <w:lang w:val="en-US" w:eastAsia="en-IE"/>
        </w:rPr>
        <w:t>”</w:t>
      </w:r>
      <w:r w:rsidR="00937398" w:rsidRPr="00937398">
        <w:rPr>
          <w:rFonts w:ascii="Calibri" w:eastAsia="Times New Roman" w:hAnsi="Calibri" w:cs="Calibri"/>
          <w:color w:val="000000"/>
          <w:lang w:val="en-US" w:eastAsia="en-IE"/>
        </w:rPr>
        <w:t xml:space="preserve"> Articles 5(1), 6(1) and 7(1) of the </w:t>
      </w:r>
      <w:r>
        <w:rPr>
          <w:rFonts w:ascii="Calibri" w:eastAsia="Times New Roman" w:hAnsi="Calibri" w:cs="Calibri"/>
          <w:color w:val="000000"/>
          <w:lang w:val="en-US" w:eastAsia="en-IE"/>
        </w:rPr>
        <w:tab/>
      </w:r>
      <w:r>
        <w:rPr>
          <w:rFonts w:ascii="Calibri" w:eastAsia="Times New Roman" w:hAnsi="Calibri" w:cs="Calibri"/>
          <w:color w:val="000000"/>
          <w:lang w:val="en-US" w:eastAsia="en-IE"/>
        </w:rPr>
        <w:tab/>
      </w:r>
      <w:r w:rsidR="00937398" w:rsidRPr="00937398">
        <w:rPr>
          <w:rFonts w:ascii="Calibri" w:eastAsia="Times New Roman" w:hAnsi="Calibri" w:cs="Calibri"/>
          <w:color w:val="000000"/>
          <w:lang w:val="en-US" w:eastAsia="en-IE"/>
        </w:rPr>
        <w:t xml:space="preserve">Proposal de facto harmonize an aspect of health policy, namely the </w:t>
      </w:r>
      <w:r w:rsidR="002138E2">
        <w:rPr>
          <w:rFonts w:ascii="Calibri" w:eastAsia="Times New Roman" w:hAnsi="Calibri" w:cs="Calibri"/>
          <w:color w:val="000000"/>
          <w:lang w:val="en-US" w:eastAsia="en-IE"/>
        </w:rPr>
        <w:t>c</w:t>
      </w:r>
      <w:r w:rsidR="00937398" w:rsidRPr="00937398">
        <w:rPr>
          <w:rFonts w:ascii="Calibri" w:eastAsia="Times New Roman" w:hAnsi="Calibri" w:cs="Calibri"/>
          <w:color w:val="000000"/>
          <w:lang w:val="en-US" w:eastAsia="en-IE"/>
        </w:rPr>
        <w:t xml:space="preserve">ertification of </w:t>
      </w:r>
      <w:r>
        <w:rPr>
          <w:rFonts w:ascii="Calibri" w:eastAsia="Times New Roman" w:hAnsi="Calibri" w:cs="Calibri"/>
          <w:color w:val="000000"/>
          <w:lang w:val="en-US" w:eastAsia="en-IE"/>
        </w:rPr>
        <w:tab/>
      </w:r>
      <w:r>
        <w:rPr>
          <w:rFonts w:ascii="Calibri" w:eastAsia="Times New Roman" w:hAnsi="Calibri" w:cs="Calibri"/>
          <w:color w:val="000000"/>
          <w:lang w:val="en-US" w:eastAsia="en-IE"/>
        </w:rPr>
        <w:tab/>
      </w:r>
      <w:r w:rsidR="00937398" w:rsidRPr="00937398">
        <w:rPr>
          <w:rFonts w:ascii="Calibri" w:eastAsia="Times New Roman" w:hAnsi="Calibri" w:cs="Calibri"/>
          <w:color w:val="000000"/>
          <w:lang w:val="en-US" w:eastAsia="en-IE"/>
        </w:rPr>
        <w:t>vaccination, testing and recovery.</w:t>
      </w:r>
    </w:p>
    <w:p w14:paraId="50927228" w14:textId="77777777" w:rsidR="00FE2B89" w:rsidRPr="00FE2B89" w:rsidRDefault="00FE2B89" w:rsidP="00AF5C6A">
      <w:pPr>
        <w:spacing w:after="0" w:line="276" w:lineRule="auto"/>
        <w:jc w:val="both"/>
        <w:rPr>
          <w:rFonts w:ascii="Calibri" w:eastAsia="Times New Roman" w:hAnsi="Calibri" w:cs="Calibri"/>
          <w:b/>
          <w:bCs/>
          <w:color w:val="000000"/>
          <w:lang w:val="en-US" w:eastAsia="en-IE"/>
        </w:rPr>
      </w:pPr>
    </w:p>
    <w:p w14:paraId="04964F63" w14:textId="2F86F666" w:rsidR="00937398" w:rsidRPr="00937398" w:rsidRDefault="00E765ED" w:rsidP="00AF5C6A">
      <w:pPr>
        <w:spacing w:after="0" w:line="276" w:lineRule="auto"/>
        <w:jc w:val="both"/>
        <w:rPr>
          <w:rFonts w:ascii="Calibri" w:eastAsia="Times New Roman" w:hAnsi="Calibri" w:cs="Calibri"/>
          <w:color w:val="000000"/>
          <w:lang w:val="en-US" w:eastAsia="en-IE"/>
        </w:rPr>
      </w:pPr>
      <w:r>
        <w:rPr>
          <w:rFonts w:ascii="Calibri" w:eastAsia="Times New Roman" w:hAnsi="Calibri" w:cs="Calibri"/>
          <w:b/>
          <w:bCs/>
          <w:color w:val="000000"/>
          <w:lang w:val="en-US" w:eastAsia="en-IE"/>
        </w:rPr>
        <w:t xml:space="preserve">3. </w:t>
      </w:r>
      <w:r w:rsidR="00937398" w:rsidRPr="00937398">
        <w:rPr>
          <w:rFonts w:ascii="Calibri" w:eastAsia="Times New Roman" w:hAnsi="Calibri" w:cs="Calibri"/>
          <w:b/>
          <w:bCs/>
          <w:color w:val="000000"/>
          <w:lang w:val="en-US" w:eastAsia="en-IE"/>
        </w:rPr>
        <w:t>Real Purposes of the Law</w:t>
      </w:r>
    </w:p>
    <w:p w14:paraId="1570455C" w14:textId="703CA571" w:rsidR="00937398" w:rsidRPr="00937398"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t xml:space="preserve">The above standard set up by the Court of Justice is therefore not fulfilled, and the </w:t>
      </w:r>
      <w:r w:rsidR="002138E2">
        <w:rPr>
          <w:rFonts w:ascii="Calibri" w:eastAsia="Times New Roman" w:hAnsi="Calibri" w:cs="Calibri"/>
          <w:color w:val="000000"/>
          <w:lang w:val="en-GB" w:eastAsia="en-IE"/>
        </w:rPr>
        <w:t xml:space="preserve">proposal </w:t>
      </w:r>
      <w:r w:rsidRPr="00937398">
        <w:rPr>
          <w:rFonts w:ascii="Calibri" w:eastAsia="Times New Roman" w:hAnsi="Calibri" w:cs="Calibri"/>
          <w:color w:val="000000"/>
          <w:lang w:val="en-GB" w:eastAsia="en-IE"/>
        </w:rPr>
        <w:t xml:space="preserve">seems to pursue two other purposes than the one </w:t>
      </w:r>
      <w:r w:rsidR="002138E2">
        <w:rPr>
          <w:rFonts w:ascii="Calibri" w:eastAsia="Times New Roman" w:hAnsi="Calibri" w:cs="Calibri"/>
          <w:color w:val="000000"/>
          <w:lang w:val="en-GB" w:eastAsia="en-IE"/>
        </w:rPr>
        <w:t xml:space="preserve">seemingly </w:t>
      </w:r>
      <w:r w:rsidRPr="00937398">
        <w:rPr>
          <w:rFonts w:ascii="Calibri" w:eastAsia="Times New Roman" w:hAnsi="Calibri" w:cs="Calibri"/>
          <w:color w:val="000000"/>
          <w:lang w:val="en-GB" w:eastAsia="en-IE"/>
        </w:rPr>
        <w:t>intended</w:t>
      </w:r>
      <w:r w:rsidRPr="00937398">
        <w:rPr>
          <w:rFonts w:ascii="Calibri" w:eastAsia="Times New Roman" w:hAnsi="Calibri" w:cs="Calibri"/>
          <w:b/>
          <w:bCs/>
          <w:color w:val="000000"/>
          <w:lang w:val="en-GB" w:eastAsia="en-IE"/>
        </w:rPr>
        <w:t>: restricting movement and interfering in health policy.</w:t>
      </w:r>
    </w:p>
    <w:p w14:paraId="5B0D4146" w14:textId="77777777" w:rsidR="00AF5C6A" w:rsidRDefault="00AF5C6A" w:rsidP="00AF5C6A">
      <w:pPr>
        <w:spacing w:after="0" w:line="276" w:lineRule="auto"/>
        <w:jc w:val="both"/>
        <w:rPr>
          <w:rFonts w:ascii="Calibri" w:eastAsia="Times New Roman" w:hAnsi="Calibri" w:cs="Calibri"/>
          <w:color w:val="000000"/>
          <w:lang w:val="en-GB" w:eastAsia="en-IE"/>
        </w:rPr>
      </w:pPr>
    </w:p>
    <w:p w14:paraId="0F219D56" w14:textId="1719FD0B" w:rsidR="00937398" w:rsidRPr="00937398"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t xml:space="preserve">The ambiguity thus created between the declared intention to </w:t>
      </w:r>
      <w:r w:rsidRPr="00937398">
        <w:rPr>
          <w:rFonts w:ascii="Calibri" w:eastAsia="Times New Roman" w:hAnsi="Calibri" w:cs="Calibri"/>
          <w:i/>
          <w:iCs/>
          <w:color w:val="000000"/>
          <w:lang w:val="en-GB" w:eastAsia="en-IE"/>
        </w:rPr>
        <w:t>"facilitate free movement</w:t>
      </w:r>
      <w:r w:rsidRPr="00937398">
        <w:rPr>
          <w:rFonts w:ascii="Calibri" w:eastAsia="Times New Roman" w:hAnsi="Calibri" w:cs="Calibri"/>
          <w:color w:val="000000"/>
          <w:lang w:val="en-GB" w:eastAsia="en-IE"/>
        </w:rPr>
        <w:t>" and the objectives transpiring from the operational provisions of the proposal </w:t>
      </w:r>
      <w:r w:rsidRPr="00937398">
        <w:rPr>
          <w:rFonts w:ascii="Calibri" w:eastAsia="Times New Roman" w:hAnsi="Calibri" w:cs="Calibri"/>
          <w:b/>
          <w:bCs/>
          <w:color w:val="000000"/>
          <w:lang w:val="en-GB" w:eastAsia="en-IE"/>
        </w:rPr>
        <w:t>create legal uncertainty</w:t>
      </w:r>
      <w:r w:rsidRPr="00937398">
        <w:rPr>
          <w:rFonts w:ascii="Calibri" w:eastAsia="Times New Roman" w:hAnsi="Calibri" w:cs="Calibri"/>
          <w:color w:val="000000"/>
          <w:lang w:val="en-GB" w:eastAsia="en-IE"/>
        </w:rPr>
        <w:t>. </w:t>
      </w:r>
    </w:p>
    <w:p w14:paraId="179DA797" w14:textId="1941A80D" w:rsidR="00937398" w:rsidRPr="00937398" w:rsidRDefault="00937398" w:rsidP="00AF5C6A">
      <w:pPr>
        <w:spacing w:after="0" w:line="276" w:lineRule="auto"/>
        <w:jc w:val="both"/>
        <w:rPr>
          <w:rFonts w:ascii="Calibri" w:eastAsia="Times New Roman" w:hAnsi="Calibri" w:cs="Calibri"/>
          <w:b/>
          <w:bCs/>
          <w:color w:val="000000"/>
          <w:lang w:val="en-GB" w:eastAsia="en-IE"/>
        </w:rPr>
      </w:pPr>
      <w:r w:rsidRPr="00937398">
        <w:rPr>
          <w:rFonts w:ascii="Calibri" w:eastAsia="Times New Roman" w:hAnsi="Calibri" w:cs="Calibri"/>
          <w:color w:val="000000"/>
          <w:lang w:val="en-GB" w:eastAsia="en-IE"/>
        </w:rPr>
        <w:t>The omission of purpose makes it difficult to determine the implications of this </w:t>
      </w:r>
      <w:r w:rsidR="00AF5C6A">
        <w:rPr>
          <w:rFonts w:ascii="Calibri" w:eastAsia="Times New Roman" w:hAnsi="Calibri" w:cs="Calibri"/>
          <w:color w:val="000000"/>
          <w:lang w:val="en-GB" w:eastAsia="en-IE"/>
        </w:rPr>
        <w:t>Regulation</w:t>
      </w:r>
      <w:r w:rsidRPr="00937398">
        <w:rPr>
          <w:rFonts w:ascii="Calibri" w:eastAsia="Times New Roman" w:hAnsi="Calibri" w:cs="Calibri"/>
          <w:color w:val="000000"/>
          <w:lang w:val="en-GB" w:eastAsia="en-IE"/>
        </w:rPr>
        <w:t xml:space="preserve"> on the Fundamental Freedoms of citizens. </w:t>
      </w:r>
      <w:r w:rsidRPr="00937398">
        <w:rPr>
          <w:rFonts w:ascii="Calibri" w:eastAsia="Times New Roman" w:hAnsi="Calibri" w:cs="Calibri"/>
          <w:b/>
          <w:bCs/>
          <w:color w:val="000000"/>
          <w:lang w:val="en-GB" w:eastAsia="en-IE"/>
        </w:rPr>
        <w:t>Further assessment and clarification are needed by the Legislator.</w:t>
      </w:r>
    </w:p>
    <w:p w14:paraId="2D1A7D52" w14:textId="77777777" w:rsidR="00FE2B89" w:rsidRDefault="00FE2B89" w:rsidP="00AF5C6A">
      <w:pPr>
        <w:spacing w:after="0" w:line="276" w:lineRule="auto"/>
        <w:jc w:val="both"/>
        <w:rPr>
          <w:rFonts w:ascii="Calibri" w:eastAsia="Times New Roman" w:hAnsi="Calibri" w:cs="Calibri"/>
          <w:b/>
          <w:bCs/>
          <w:color w:val="000000"/>
          <w:lang w:val="en-GB" w:eastAsia="en-IE"/>
        </w:rPr>
      </w:pPr>
    </w:p>
    <w:p w14:paraId="1632F9F0" w14:textId="1D3248AB" w:rsidR="00937398" w:rsidRPr="00937398"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t>Given that both these objectives breach the Treaties, it is hard to see how the EU could adopt such a law without being in breach of its own fundamental principles of law-making.</w:t>
      </w:r>
    </w:p>
    <w:p w14:paraId="343E46EE" w14:textId="77777777" w:rsidR="00937398" w:rsidRPr="00937398" w:rsidRDefault="00937398" w:rsidP="00AF5C6A">
      <w:pPr>
        <w:spacing w:after="0" w:line="276" w:lineRule="auto"/>
        <w:jc w:val="both"/>
        <w:rPr>
          <w:rFonts w:ascii="Calibri" w:eastAsia="Times New Roman" w:hAnsi="Calibri" w:cs="Calibri"/>
          <w:color w:val="000000"/>
          <w:lang w:val="en-GB" w:eastAsia="en-IE"/>
        </w:rPr>
      </w:pPr>
    </w:p>
    <w:p w14:paraId="2B9C542F" w14:textId="744AEEEE" w:rsidR="006270B5" w:rsidRDefault="00937398" w:rsidP="00AF5C6A">
      <w:pPr>
        <w:spacing w:after="0" w:line="276" w:lineRule="auto"/>
        <w:jc w:val="center"/>
        <w:rPr>
          <w:rFonts w:ascii="Calibri" w:eastAsia="Times New Roman" w:hAnsi="Calibri" w:cs="Calibri"/>
          <w:b/>
          <w:bCs/>
          <w:i/>
          <w:iCs/>
          <w:color w:val="000000"/>
          <w:u w:val="single"/>
          <w:lang w:val="en-GB" w:eastAsia="en-IE"/>
        </w:rPr>
      </w:pPr>
      <w:r w:rsidRPr="00937398">
        <w:rPr>
          <w:rFonts w:ascii="Calibri" w:eastAsia="Times New Roman" w:hAnsi="Calibri" w:cs="Calibri"/>
          <w:b/>
          <w:bCs/>
          <w:i/>
          <w:iCs/>
          <w:color w:val="000000"/>
          <w:u w:val="single"/>
          <w:lang w:val="en-GB" w:eastAsia="en-IE"/>
        </w:rPr>
        <w:t>V</w:t>
      </w:r>
      <w:r w:rsidR="00C26924">
        <w:rPr>
          <w:rFonts w:ascii="Calibri" w:eastAsia="Times New Roman" w:hAnsi="Calibri" w:cs="Calibri"/>
          <w:b/>
          <w:bCs/>
          <w:i/>
          <w:iCs/>
          <w:color w:val="000000"/>
          <w:u w:val="single"/>
          <w:lang w:val="en-GB" w:eastAsia="en-IE"/>
        </w:rPr>
        <w:t>ote</w:t>
      </w:r>
      <w:r w:rsidRPr="00937398">
        <w:rPr>
          <w:rFonts w:ascii="Calibri" w:eastAsia="Times New Roman" w:hAnsi="Calibri" w:cs="Calibri"/>
          <w:b/>
          <w:bCs/>
          <w:i/>
          <w:iCs/>
          <w:color w:val="000000"/>
          <w:u w:val="single"/>
          <w:lang w:val="en-GB" w:eastAsia="en-IE"/>
        </w:rPr>
        <w:t xml:space="preserve"> ‘NO’ to </w:t>
      </w:r>
      <w:r w:rsidR="00FE2B89" w:rsidRPr="00FE2B89">
        <w:rPr>
          <w:rFonts w:ascii="Calibri" w:eastAsia="Times New Roman" w:hAnsi="Calibri" w:cs="Calibri"/>
          <w:b/>
          <w:bCs/>
          <w:i/>
          <w:iCs/>
          <w:color w:val="000000"/>
          <w:u w:val="single"/>
          <w:lang w:val="en-GB" w:eastAsia="en-IE"/>
        </w:rPr>
        <w:t xml:space="preserve">the Regulation </w:t>
      </w:r>
      <w:r w:rsidR="00C26924">
        <w:rPr>
          <w:rFonts w:ascii="Calibri" w:eastAsia="Times New Roman" w:hAnsi="Calibri" w:cs="Calibri"/>
          <w:b/>
          <w:bCs/>
          <w:i/>
          <w:iCs/>
          <w:color w:val="000000"/>
          <w:u w:val="single"/>
          <w:lang w:val="en-GB" w:eastAsia="en-IE"/>
        </w:rPr>
        <w:t>–</w:t>
      </w:r>
      <w:r w:rsidR="00FE2B89" w:rsidRPr="00FE2B89">
        <w:rPr>
          <w:rFonts w:ascii="Calibri" w:eastAsia="Times New Roman" w:hAnsi="Calibri" w:cs="Calibri"/>
          <w:b/>
          <w:bCs/>
          <w:i/>
          <w:iCs/>
          <w:color w:val="000000"/>
          <w:u w:val="single"/>
          <w:lang w:val="en-GB" w:eastAsia="en-IE"/>
        </w:rPr>
        <w:t xml:space="preserve"> </w:t>
      </w:r>
      <w:r w:rsidR="00C26924">
        <w:rPr>
          <w:rFonts w:ascii="Calibri" w:eastAsia="Times New Roman" w:hAnsi="Calibri" w:cs="Calibri"/>
          <w:b/>
          <w:bCs/>
          <w:i/>
          <w:iCs/>
          <w:color w:val="000000"/>
          <w:u w:val="single"/>
          <w:lang w:val="en-GB" w:eastAsia="en-IE"/>
        </w:rPr>
        <w:t xml:space="preserve">and </w:t>
      </w:r>
      <w:r w:rsidRPr="00937398">
        <w:rPr>
          <w:rFonts w:ascii="Calibri" w:eastAsia="Times New Roman" w:hAnsi="Calibri" w:cs="Calibri"/>
          <w:b/>
          <w:bCs/>
          <w:i/>
          <w:iCs/>
          <w:color w:val="000000"/>
          <w:u w:val="single"/>
          <w:lang w:val="en-GB" w:eastAsia="en-IE"/>
        </w:rPr>
        <w:t>NO to forced vaccination</w:t>
      </w:r>
      <w:r w:rsidR="006270B5">
        <w:rPr>
          <w:rFonts w:ascii="Calibri" w:eastAsia="Times New Roman" w:hAnsi="Calibri" w:cs="Calibri"/>
          <w:b/>
          <w:bCs/>
          <w:i/>
          <w:iCs/>
          <w:color w:val="000000"/>
          <w:u w:val="single"/>
          <w:lang w:val="en-GB" w:eastAsia="en-IE"/>
        </w:rPr>
        <w:t xml:space="preserve"> </w:t>
      </w:r>
    </w:p>
    <w:p w14:paraId="57175572" w14:textId="77777777" w:rsidR="006270B5" w:rsidRPr="00937398" w:rsidRDefault="006270B5" w:rsidP="00AF5C6A">
      <w:pPr>
        <w:spacing w:after="0" w:line="276" w:lineRule="auto"/>
        <w:jc w:val="center"/>
        <w:rPr>
          <w:rFonts w:ascii="Calibri" w:eastAsia="Times New Roman" w:hAnsi="Calibri" w:cs="Calibri"/>
          <w:b/>
          <w:bCs/>
          <w:i/>
          <w:iCs/>
          <w:color w:val="000000"/>
          <w:u w:val="single"/>
          <w:lang w:val="en-GB" w:eastAsia="en-IE"/>
        </w:rPr>
      </w:pPr>
    </w:p>
    <w:p w14:paraId="71E0A954" w14:textId="4587FF32" w:rsidR="00937398" w:rsidRPr="00937398" w:rsidRDefault="00937398" w:rsidP="00AF5C6A">
      <w:pPr>
        <w:spacing w:after="0" w:line="276" w:lineRule="auto"/>
        <w:jc w:val="both"/>
        <w:rPr>
          <w:rFonts w:ascii="Calibri" w:eastAsia="Times New Roman" w:hAnsi="Calibri" w:cs="Calibri"/>
          <w:color w:val="000000"/>
          <w:lang w:val="en-US" w:eastAsia="en-IE"/>
        </w:rPr>
      </w:pPr>
      <w:r w:rsidRPr="00937398">
        <w:rPr>
          <w:rFonts w:ascii="Calibri" w:eastAsia="Times New Roman" w:hAnsi="Calibri" w:cs="Calibri"/>
          <w:b/>
          <w:color w:val="000000"/>
          <w:lang w:val="en-US" w:eastAsia="en-IE"/>
        </w:rPr>
        <w:t xml:space="preserve">1. Compulsory vaccination, as an involuntary medical intervention, constitutes an interference with the exercise of the </w:t>
      </w:r>
      <w:r w:rsidR="00AF5C6A">
        <w:rPr>
          <w:rFonts w:ascii="Calibri" w:eastAsia="Times New Roman" w:hAnsi="Calibri" w:cs="Calibri"/>
          <w:b/>
          <w:color w:val="000000"/>
          <w:lang w:val="en-US" w:eastAsia="en-IE"/>
        </w:rPr>
        <w:t>r</w:t>
      </w:r>
      <w:r w:rsidRPr="00937398">
        <w:rPr>
          <w:rFonts w:ascii="Calibri" w:eastAsia="Times New Roman" w:hAnsi="Calibri" w:cs="Calibri"/>
          <w:b/>
          <w:color w:val="000000"/>
          <w:lang w:val="en-US" w:eastAsia="en-IE"/>
        </w:rPr>
        <w:t xml:space="preserve">ight to the integrity of the person </w:t>
      </w:r>
    </w:p>
    <w:p w14:paraId="0FD5CFC0" w14:textId="77777777" w:rsidR="00AF5C6A" w:rsidRDefault="00937398" w:rsidP="00AF5C6A">
      <w:pPr>
        <w:spacing w:after="0" w:line="276" w:lineRule="auto"/>
        <w:jc w:val="both"/>
        <w:rPr>
          <w:rFonts w:ascii="Calibri" w:eastAsia="Times New Roman" w:hAnsi="Calibri" w:cs="Calibri"/>
          <w:color w:val="000000"/>
          <w:lang w:val="en-US" w:eastAsia="en-IE"/>
        </w:rPr>
      </w:pPr>
      <w:r w:rsidRPr="00937398">
        <w:rPr>
          <w:rFonts w:ascii="Calibri" w:eastAsia="Times New Roman" w:hAnsi="Calibri" w:cs="Calibri"/>
          <w:color w:val="000000"/>
          <w:lang w:val="en-US" w:eastAsia="en-IE"/>
        </w:rPr>
        <w:t xml:space="preserve">The Charter of </w:t>
      </w:r>
      <w:sdt>
        <w:sdtPr>
          <w:rPr>
            <w:rFonts w:ascii="Calibri" w:eastAsia="Times New Roman" w:hAnsi="Calibri" w:cs="Calibri"/>
            <w:color w:val="000000"/>
            <w:lang w:val="en-US" w:eastAsia="en-IE"/>
          </w:rPr>
          <w:tag w:val="goog_rdk_6"/>
          <w:id w:val="569767313"/>
        </w:sdtPr>
        <w:sdtEndPr/>
        <w:sdtContent>
          <w:r w:rsidRPr="00937398">
            <w:rPr>
              <w:rFonts w:ascii="Calibri" w:eastAsia="Times New Roman" w:hAnsi="Calibri" w:cs="Calibri"/>
              <w:color w:val="000000"/>
              <w:lang w:val="en-US" w:eastAsia="en-IE"/>
            </w:rPr>
            <w:t xml:space="preserve">Fundamental Rights of the </w:t>
          </w:r>
        </w:sdtContent>
      </w:sdt>
      <w:r w:rsidRPr="00937398">
        <w:rPr>
          <w:rFonts w:ascii="Calibri" w:eastAsia="Times New Roman" w:hAnsi="Calibri" w:cs="Calibri"/>
          <w:color w:val="000000"/>
          <w:lang w:val="en-US" w:eastAsia="en-IE"/>
        </w:rPr>
        <w:t xml:space="preserve">European </w:t>
      </w:r>
      <w:sdt>
        <w:sdtPr>
          <w:rPr>
            <w:rFonts w:ascii="Calibri" w:eastAsia="Times New Roman" w:hAnsi="Calibri" w:cs="Calibri"/>
            <w:color w:val="000000"/>
            <w:lang w:val="en-US" w:eastAsia="en-IE"/>
          </w:rPr>
          <w:tag w:val="goog_rdk_7"/>
          <w:id w:val="522440548"/>
        </w:sdtPr>
        <w:sdtEndPr/>
        <w:sdtContent>
          <w:r w:rsidRPr="00937398">
            <w:rPr>
              <w:rFonts w:ascii="Calibri" w:eastAsia="Times New Roman" w:hAnsi="Calibri" w:cs="Calibri"/>
              <w:color w:val="000000"/>
              <w:lang w:val="en-US" w:eastAsia="en-IE"/>
            </w:rPr>
            <w:t xml:space="preserve">Union </w:t>
          </w:r>
        </w:sdtContent>
      </w:sdt>
      <w:r w:rsidRPr="00937398">
        <w:rPr>
          <w:rFonts w:ascii="Calibri" w:eastAsia="Times New Roman" w:hAnsi="Calibri" w:cs="Calibri"/>
          <w:color w:val="000000"/>
          <w:lang w:val="en-US" w:eastAsia="en-IE"/>
        </w:rPr>
        <w:t>(Article 3) guarantees</w:t>
      </w:r>
      <w:sdt>
        <w:sdtPr>
          <w:rPr>
            <w:rFonts w:ascii="Calibri" w:eastAsia="Times New Roman" w:hAnsi="Calibri" w:cs="Calibri"/>
            <w:color w:val="000000"/>
            <w:lang w:val="en-US" w:eastAsia="en-IE"/>
          </w:rPr>
          <w:tag w:val="goog_rdk_10"/>
          <w:id w:val="243196"/>
        </w:sdtPr>
        <w:sdtEndPr/>
        <w:sdtContent>
          <w:r w:rsidRPr="00937398">
            <w:rPr>
              <w:rFonts w:ascii="Calibri" w:eastAsia="Times New Roman" w:hAnsi="Calibri" w:cs="Calibri"/>
              <w:color w:val="000000"/>
              <w:lang w:val="en-US" w:eastAsia="en-IE"/>
            </w:rPr>
            <w:t>, in respect of medicine and biology,</w:t>
          </w:r>
        </w:sdtContent>
      </w:sdt>
      <w:r w:rsidRPr="00937398">
        <w:rPr>
          <w:rFonts w:ascii="Calibri" w:eastAsia="Times New Roman" w:hAnsi="Calibri" w:cs="Calibri"/>
          <w:color w:val="000000"/>
          <w:lang w:val="en-US" w:eastAsia="en-IE"/>
        </w:rPr>
        <w:t xml:space="preserve"> in particular:</w:t>
      </w:r>
    </w:p>
    <w:p w14:paraId="08DCF170" w14:textId="77777777" w:rsidR="00AF5C6A" w:rsidRPr="00AF5C6A" w:rsidRDefault="00937398" w:rsidP="00AF5C6A">
      <w:pPr>
        <w:pStyle w:val="ListParagraph"/>
        <w:numPr>
          <w:ilvl w:val="0"/>
          <w:numId w:val="11"/>
        </w:numPr>
        <w:spacing w:after="0" w:line="276" w:lineRule="auto"/>
        <w:jc w:val="both"/>
        <w:rPr>
          <w:rFonts w:ascii="Calibri" w:eastAsia="Times New Roman" w:hAnsi="Calibri" w:cs="Calibri"/>
          <w:color w:val="000000"/>
          <w:lang w:val="en-US" w:eastAsia="en-IE"/>
        </w:rPr>
      </w:pPr>
      <w:r w:rsidRPr="00AF5C6A">
        <w:rPr>
          <w:rFonts w:ascii="Calibri" w:eastAsia="Times New Roman" w:hAnsi="Calibri" w:cs="Calibri"/>
          <w:bCs/>
          <w:color w:val="000000"/>
          <w:lang w:val="en-US" w:eastAsia="en-IE"/>
        </w:rPr>
        <w:t>free and informed consent of the person concerned, according to the procedures laid down by law</w:t>
      </w:r>
      <w:r w:rsidR="00AF5C6A">
        <w:rPr>
          <w:rFonts w:ascii="Calibri" w:eastAsia="Times New Roman" w:hAnsi="Calibri" w:cs="Calibri"/>
          <w:bCs/>
          <w:color w:val="000000"/>
          <w:lang w:val="en-US" w:eastAsia="en-IE"/>
        </w:rPr>
        <w:t>; and</w:t>
      </w:r>
    </w:p>
    <w:p w14:paraId="1D7C6154" w14:textId="58B3E820" w:rsidR="00937398" w:rsidRPr="00AF5C6A" w:rsidRDefault="00937398" w:rsidP="00AF5C6A">
      <w:pPr>
        <w:pStyle w:val="ListParagraph"/>
        <w:numPr>
          <w:ilvl w:val="0"/>
          <w:numId w:val="11"/>
        </w:numPr>
        <w:spacing w:after="0" w:line="276" w:lineRule="auto"/>
        <w:jc w:val="both"/>
        <w:rPr>
          <w:rFonts w:ascii="Calibri" w:eastAsia="Times New Roman" w:hAnsi="Calibri" w:cs="Calibri"/>
          <w:color w:val="000000"/>
          <w:lang w:val="en-US" w:eastAsia="en-IE"/>
        </w:rPr>
      </w:pPr>
      <w:r w:rsidRPr="00AF5C6A">
        <w:rPr>
          <w:rFonts w:ascii="Calibri" w:eastAsia="Times New Roman" w:hAnsi="Calibri" w:cs="Calibri"/>
          <w:bCs/>
          <w:color w:val="000000"/>
          <w:lang w:val="en-US" w:eastAsia="en-IE"/>
        </w:rPr>
        <w:t>prohibition of eugenic practices.</w:t>
      </w:r>
    </w:p>
    <w:p w14:paraId="26C5FA82" w14:textId="77777777" w:rsidR="006270B5" w:rsidRPr="00937398" w:rsidRDefault="006270B5" w:rsidP="00AF5C6A">
      <w:pPr>
        <w:spacing w:after="0" w:line="276" w:lineRule="auto"/>
        <w:ind w:left="720"/>
        <w:jc w:val="both"/>
        <w:rPr>
          <w:rFonts w:ascii="Calibri" w:eastAsia="Times New Roman" w:hAnsi="Calibri" w:cs="Calibri"/>
          <w:color w:val="000000"/>
          <w:lang w:val="en-US" w:eastAsia="en-IE"/>
        </w:rPr>
      </w:pPr>
    </w:p>
    <w:p w14:paraId="634FEA45" w14:textId="19410707" w:rsidR="006270B5" w:rsidRDefault="00937398" w:rsidP="00AF5C6A">
      <w:pPr>
        <w:spacing w:after="0" w:line="276" w:lineRule="auto"/>
        <w:jc w:val="both"/>
        <w:rPr>
          <w:rFonts w:ascii="Calibri" w:eastAsia="Times New Roman" w:hAnsi="Calibri" w:cs="Calibri"/>
          <w:color w:val="000000"/>
          <w:lang w:val="en-US" w:eastAsia="en-IE"/>
        </w:rPr>
      </w:pPr>
      <w:r w:rsidRPr="00937398">
        <w:rPr>
          <w:rFonts w:ascii="Calibri" w:eastAsia="Times New Roman" w:hAnsi="Calibri" w:cs="Calibri"/>
          <w:b/>
          <w:color w:val="000000"/>
          <w:lang w:val="en-US" w:eastAsia="en-IE"/>
        </w:rPr>
        <w:t xml:space="preserve">2. </w:t>
      </w:r>
      <w:sdt>
        <w:sdtPr>
          <w:rPr>
            <w:rFonts w:ascii="Calibri" w:eastAsia="Times New Roman" w:hAnsi="Calibri" w:cs="Calibri"/>
            <w:bCs/>
            <w:color w:val="000000"/>
            <w:lang w:val="en-US" w:eastAsia="en-IE"/>
          </w:rPr>
          <w:tag w:val="goog_rdk_11"/>
          <w:id w:val="864787783"/>
        </w:sdtPr>
        <w:sdtEndPr/>
        <w:sdtContent>
          <w:r w:rsidRPr="00937398">
            <w:rPr>
              <w:rFonts w:ascii="Calibri" w:eastAsia="Times New Roman" w:hAnsi="Calibri" w:cs="Calibri"/>
              <w:b/>
              <w:color w:val="000000"/>
              <w:lang w:val="en-US" w:eastAsia="en-IE"/>
            </w:rPr>
            <w:t xml:space="preserve">The </w:t>
          </w:r>
          <w:sdt>
            <w:sdtPr>
              <w:rPr>
                <w:rFonts w:ascii="Calibri" w:eastAsia="Times New Roman" w:hAnsi="Calibri" w:cs="Calibri"/>
                <w:b/>
                <w:color w:val="000000"/>
                <w:lang w:val="en-US" w:eastAsia="en-IE"/>
              </w:rPr>
              <w:tag w:val="goog_rdk_12"/>
              <w:id w:val="-159310184"/>
            </w:sdtPr>
            <w:sdtEndPr/>
            <w:sdtContent/>
          </w:sdt>
          <w:r w:rsidRPr="00937398">
            <w:rPr>
              <w:rFonts w:ascii="Calibri" w:eastAsia="Times New Roman" w:hAnsi="Calibri" w:cs="Calibri"/>
              <w:b/>
              <w:color w:val="000000"/>
              <w:lang w:val="en-US" w:eastAsia="en-IE"/>
            </w:rPr>
            <w:t>Oviedo Convention</w:t>
          </w:r>
          <w:r w:rsidRPr="00937398">
            <w:rPr>
              <w:rFonts w:ascii="Calibri" w:eastAsia="Times New Roman" w:hAnsi="Calibri" w:cs="Calibri"/>
              <w:bCs/>
              <w:color w:val="000000"/>
              <w:lang w:val="en-US" w:eastAsia="en-IE"/>
            </w:rPr>
            <w:t xml:space="preserve"> also upholds the principle that </w:t>
          </w:r>
        </w:sdtContent>
      </w:sdt>
      <w:sdt>
        <w:sdtPr>
          <w:rPr>
            <w:rFonts w:ascii="Calibri" w:eastAsia="Times New Roman" w:hAnsi="Calibri" w:cs="Calibri"/>
            <w:bCs/>
            <w:color w:val="000000"/>
            <w:lang w:val="en-US" w:eastAsia="en-IE"/>
          </w:rPr>
          <w:tag w:val="goog_rdk_15"/>
          <w:id w:val="1960839641"/>
        </w:sdtPr>
        <w:sdtEndPr/>
        <w:sdtContent>
          <w:r w:rsidRPr="00937398">
            <w:rPr>
              <w:rFonts w:ascii="Calibri" w:eastAsia="Times New Roman" w:hAnsi="Calibri" w:cs="Calibri"/>
              <w:bCs/>
              <w:color w:val="000000"/>
              <w:lang w:val="en-US" w:eastAsia="en-IE"/>
            </w:rPr>
            <w:t>a</w:t>
          </w:r>
        </w:sdtContent>
      </w:sdt>
      <w:r w:rsidRPr="00937398">
        <w:rPr>
          <w:rFonts w:ascii="Calibri" w:eastAsia="Times New Roman" w:hAnsi="Calibri" w:cs="Calibri"/>
          <w:bCs/>
          <w:color w:val="000000"/>
          <w:lang w:val="en-US" w:eastAsia="en-IE"/>
        </w:rPr>
        <w:t>ny medical intervention should be subject to a patient’s free and informed consent</w:t>
      </w:r>
      <w:r w:rsidRPr="00937398">
        <w:rPr>
          <w:rFonts w:ascii="Calibri" w:eastAsia="Times New Roman" w:hAnsi="Calibri" w:cs="Calibri"/>
          <w:color w:val="000000"/>
          <w:lang w:val="en-US" w:eastAsia="en-IE"/>
        </w:rPr>
        <w:t xml:space="preserve">. </w:t>
      </w:r>
    </w:p>
    <w:p w14:paraId="6EB757FB" w14:textId="77777777" w:rsidR="006270B5" w:rsidRPr="00937398" w:rsidRDefault="006270B5" w:rsidP="00AF5C6A">
      <w:pPr>
        <w:spacing w:after="0" w:line="276" w:lineRule="auto"/>
        <w:jc w:val="both"/>
        <w:rPr>
          <w:rFonts w:ascii="Calibri" w:eastAsia="Times New Roman" w:hAnsi="Calibri" w:cs="Calibri"/>
          <w:color w:val="000000"/>
          <w:lang w:val="en-US" w:eastAsia="en-IE"/>
        </w:rPr>
      </w:pPr>
    </w:p>
    <w:p w14:paraId="0D04D561" w14:textId="0EC4F047" w:rsidR="00937398" w:rsidRPr="00937398" w:rsidRDefault="00937398" w:rsidP="00AF5C6A">
      <w:pPr>
        <w:spacing w:after="0" w:line="276" w:lineRule="auto"/>
        <w:jc w:val="both"/>
        <w:rPr>
          <w:rFonts w:ascii="Calibri" w:eastAsia="Times New Roman" w:hAnsi="Calibri" w:cs="Calibri"/>
          <w:color w:val="000000"/>
          <w:lang w:val="en-US" w:eastAsia="en-IE"/>
        </w:rPr>
      </w:pPr>
      <w:r w:rsidRPr="00937398">
        <w:rPr>
          <w:rFonts w:ascii="Calibri" w:eastAsia="Times New Roman" w:hAnsi="Calibri" w:cs="Calibri"/>
          <w:b/>
          <w:color w:val="000000"/>
          <w:lang w:val="en-US" w:eastAsia="en-IE"/>
        </w:rPr>
        <w:t>3. Any mandatory measures in sensitive areas such as health must be strict</w:t>
      </w:r>
      <w:sdt>
        <w:sdtPr>
          <w:rPr>
            <w:rFonts w:ascii="Calibri" w:eastAsia="Times New Roman" w:hAnsi="Calibri" w:cs="Calibri"/>
            <w:color w:val="000000"/>
            <w:lang w:val="en-US" w:eastAsia="en-IE"/>
          </w:rPr>
          <w:tag w:val="goog_rdk_17"/>
          <w:id w:val="-1196464590"/>
        </w:sdtPr>
        <w:sdtEndPr/>
        <w:sdtContent>
          <w:r w:rsidRPr="00937398">
            <w:rPr>
              <w:rFonts w:ascii="Calibri" w:eastAsia="Times New Roman" w:hAnsi="Calibri" w:cs="Calibri"/>
              <w:b/>
              <w:color w:val="000000"/>
              <w:lang w:val="en-US" w:eastAsia="en-IE"/>
            </w:rPr>
            <w:t>ly</w:t>
          </w:r>
        </w:sdtContent>
      </w:sdt>
      <w:r w:rsidRPr="00937398">
        <w:rPr>
          <w:rFonts w:ascii="Calibri" w:eastAsia="Times New Roman" w:hAnsi="Calibri" w:cs="Calibri"/>
          <w:b/>
          <w:color w:val="000000"/>
          <w:lang w:val="en-US" w:eastAsia="en-IE"/>
        </w:rPr>
        <w:t xml:space="preserve"> lawful and proportional </w:t>
      </w:r>
      <w:r w:rsidRPr="00937398">
        <w:rPr>
          <w:rFonts w:ascii="Calibri" w:eastAsia="Times New Roman" w:hAnsi="Calibri" w:cs="Calibri"/>
          <w:color w:val="000000"/>
          <w:lang w:val="en-US" w:eastAsia="en-IE"/>
        </w:rPr>
        <w:t>(EU Charter - Article 52)</w:t>
      </w:r>
    </w:p>
    <w:p w14:paraId="0D7AB0E6" w14:textId="33BD02C5" w:rsidR="00937398" w:rsidRDefault="00937398" w:rsidP="00AF5C6A">
      <w:pPr>
        <w:spacing w:after="0" w:line="276" w:lineRule="auto"/>
        <w:jc w:val="both"/>
        <w:rPr>
          <w:rFonts w:ascii="Calibri" w:eastAsia="Times New Roman" w:hAnsi="Calibri" w:cs="Calibri"/>
          <w:color w:val="000000"/>
          <w:lang w:val="en-US" w:eastAsia="en-IE"/>
        </w:rPr>
      </w:pPr>
      <w:r w:rsidRPr="00937398">
        <w:rPr>
          <w:rFonts w:ascii="Calibri" w:eastAsia="Times New Roman" w:hAnsi="Calibri" w:cs="Calibri"/>
          <w:color w:val="000000"/>
          <w:lang w:val="en-US" w:eastAsia="en-IE"/>
        </w:rPr>
        <w:t xml:space="preserve">Unjustified differences in the treatment of people based on their health status </w:t>
      </w:r>
      <w:sdt>
        <w:sdtPr>
          <w:rPr>
            <w:rFonts w:ascii="Calibri" w:eastAsia="Times New Roman" w:hAnsi="Calibri" w:cs="Calibri"/>
            <w:color w:val="000000"/>
            <w:lang w:val="en-US" w:eastAsia="en-IE"/>
          </w:rPr>
          <w:tag w:val="goog_rdk_18"/>
          <w:id w:val="-386490401"/>
        </w:sdtPr>
        <w:sdtEndPr/>
        <w:sdtContent>
          <w:r w:rsidRPr="00937398">
            <w:rPr>
              <w:rFonts w:ascii="Calibri" w:eastAsia="Times New Roman" w:hAnsi="Calibri" w:cs="Calibri"/>
              <w:color w:val="000000"/>
              <w:lang w:val="en-US" w:eastAsia="en-IE"/>
            </w:rPr>
            <w:t>could</w:t>
          </w:r>
        </w:sdtContent>
      </w:sdt>
      <w:sdt>
        <w:sdtPr>
          <w:rPr>
            <w:rFonts w:ascii="Calibri" w:eastAsia="Times New Roman" w:hAnsi="Calibri" w:cs="Calibri"/>
            <w:color w:val="000000"/>
            <w:lang w:val="en-US" w:eastAsia="en-IE"/>
          </w:rPr>
          <w:tag w:val="goog_rdk_19"/>
          <w:id w:val="-1850471104"/>
          <w:showingPlcHdr/>
        </w:sdtPr>
        <w:sdtEndPr/>
        <w:sdtContent>
          <w:r w:rsidR="00AF5C6A">
            <w:rPr>
              <w:rFonts w:ascii="Calibri" w:eastAsia="Times New Roman" w:hAnsi="Calibri" w:cs="Calibri"/>
              <w:color w:val="000000"/>
              <w:lang w:val="en-US" w:eastAsia="en-IE"/>
            </w:rPr>
            <w:t xml:space="preserve">     </w:t>
          </w:r>
        </w:sdtContent>
      </w:sdt>
      <w:r w:rsidRPr="00937398">
        <w:rPr>
          <w:rFonts w:ascii="Calibri" w:eastAsia="Times New Roman" w:hAnsi="Calibri" w:cs="Calibri"/>
          <w:color w:val="000000"/>
          <w:lang w:val="en-US" w:eastAsia="en-IE"/>
        </w:rPr>
        <w:t xml:space="preserve">ultimately </w:t>
      </w:r>
      <w:sdt>
        <w:sdtPr>
          <w:rPr>
            <w:rFonts w:ascii="Calibri" w:eastAsia="Times New Roman" w:hAnsi="Calibri" w:cs="Calibri"/>
            <w:color w:val="000000"/>
            <w:lang w:val="en-US" w:eastAsia="en-IE"/>
          </w:rPr>
          <w:tag w:val="goog_rdk_20"/>
          <w:id w:val="-1435516936"/>
        </w:sdtPr>
        <w:sdtEndPr/>
        <w:sdtContent>
          <w:r w:rsidRPr="00937398">
            <w:rPr>
              <w:rFonts w:ascii="Calibri" w:eastAsia="Times New Roman" w:hAnsi="Calibri" w:cs="Calibri"/>
              <w:color w:val="000000"/>
              <w:lang w:val="en-US" w:eastAsia="en-IE"/>
            </w:rPr>
            <w:t>lead to</w:t>
          </w:r>
        </w:sdtContent>
      </w:sdt>
      <w:r w:rsidRPr="00937398">
        <w:rPr>
          <w:rFonts w:ascii="Calibri" w:eastAsia="Times New Roman" w:hAnsi="Calibri" w:cs="Calibri"/>
          <w:color w:val="000000"/>
          <w:lang w:val="en-US" w:eastAsia="en-IE"/>
        </w:rPr>
        <w:t xml:space="preserve"> discrimination under both the </w:t>
      </w:r>
      <w:sdt>
        <w:sdtPr>
          <w:rPr>
            <w:rFonts w:ascii="Calibri" w:eastAsia="Times New Roman" w:hAnsi="Calibri" w:cs="Calibri"/>
            <w:color w:val="000000"/>
            <w:lang w:val="en-US" w:eastAsia="en-IE"/>
          </w:rPr>
          <w:tag w:val="goog_rdk_23"/>
          <w:id w:val="1659564303"/>
        </w:sdtPr>
        <w:sdtEndPr/>
        <w:sdtContent>
          <w:r w:rsidRPr="00937398">
            <w:rPr>
              <w:rFonts w:ascii="Calibri" w:eastAsia="Times New Roman" w:hAnsi="Calibri" w:cs="Calibri"/>
              <w:color w:val="000000"/>
              <w:lang w:val="en-US" w:eastAsia="en-IE"/>
            </w:rPr>
            <w:t xml:space="preserve">EU Charter, </w:t>
          </w:r>
        </w:sdtContent>
      </w:sdt>
      <w:r w:rsidRPr="00937398">
        <w:rPr>
          <w:rFonts w:ascii="Calibri" w:eastAsia="Times New Roman" w:hAnsi="Calibri" w:cs="Calibri"/>
          <w:color w:val="000000"/>
          <w:lang w:val="en-US" w:eastAsia="en-IE"/>
        </w:rPr>
        <w:t>European Convention of Human Rights and the European Social Charter.</w:t>
      </w:r>
    </w:p>
    <w:p w14:paraId="6B8ECA47" w14:textId="77777777" w:rsidR="006270B5" w:rsidRPr="00937398" w:rsidRDefault="006270B5" w:rsidP="00AF5C6A">
      <w:pPr>
        <w:spacing w:after="0" w:line="276" w:lineRule="auto"/>
        <w:jc w:val="both"/>
        <w:rPr>
          <w:rFonts w:ascii="Calibri" w:eastAsia="Times New Roman" w:hAnsi="Calibri" w:cs="Calibri"/>
          <w:color w:val="000000"/>
          <w:lang w:val="en-US" w:eastAsia="en-IE"/>
        </w:rPr>
      </w:pPr>
    </w:p>
    <w:p w14:paraId="2B5280F9" w14:textId="77777777" w:rsidR="00AF5C6A" w:rsidRDefault="00937398" w:rsidP="00AF5C6A">
      <w:pPr>
        <w:spacing w:after="0" w:line="276" w:lineRule="auto"/>
        <w:jc w:val="both"/>
        <w:rPr>
          <w:rFonts w:ascii="Calibri" w:eastAsia="Times New Roman" w:hAnsi="Calibri" w:cs="Calibri"/>
          <w:color w:val="000000"/>
          <w:lang w:val="en-US" w:eastAsia="en-IE"/>
        </w:rPr>
      </w:pPr>
      <w:r w:rsidRPr="00937398">
        <w:rPr>
          <w:rFonts w:ascii="Calibri" w:eastAsia="Times New Roman" w:hAnsi="Calibri" w:cs="Calibri"/>
          <w:b/>
          <w:color w:val="000000"/>
          <w:lang w:val="en-US" w:eastAsia="en-IE"/>
        </w:rPr>
        <w:lastRenderedPageBreak/>
        <w:t xml:space="preserve">4. Protection of human health </w:t>
      </w:r>
      <w:r w:rsidR="00AF5C6A">
        <w:rPr>
          <w:rFonts w:ascii="Calibri" w:eastAsia="Times New Roman" w:hAnsi="Calibri" w:cs="Calibri"/>
          <w:color w:val="000000"/>
          <w:lang w:val="en-US" w:eastAsia="en-IE"/>
        </w:rPr>
        <w:t>–</w:t>
      </w:r>
      <w:r w:rsidRPr="00937398">
        <w:rPr>
          <w:rFonts w:ascii="Calibri" w:eastAsia="Times New Roman" w:hAnsi="Calibri" w:cs="Calibri"/>
          <w:color w:val="000000"/>
          <w:lang w:val="en-US" w:eastAsia="en-IE"/>
        </w:rPr>
        <w:t xml:space="preserve"> </w:t>
      </w:r>
      <w:r w:rsidR="00AF5C6A">
        <w:rPr>
          <w:rFonts w:ascii="Calibri" w:eastAsia="Times New Roman" w:hAnsi="Calibri" w:cs="Calibri"/>
          <w:color w:val="000000"/>
          <w:lang w:val="en-US" w:eastAsia="en-IE"/>
        </w:rPr>
        <w:t xml:space="preserve">the </w:t>
      </w:r>
      <w:r w:rsidRPr="00937398">
        <w:rPr>
          <w:rFonts w:ascii="Calibri" w:eastAsia="Times New Roman" w:hAnsi="Calibri" w:cs="Calibri"/>
          <w:color w:val="000000"/>
          <w:lang w:val="en-US" w:eastAsia="en-IE"/>
        </w:rPr>
        <w:t>Treaty on the Functioning of the European Union in its Article 168 provides that:</w:t>
      </w:r>
    </w:p>
    <w:p w14:paraId="63833BCC" w14:textId="77777777" w:rsidR="00AF5C6A" w:rsidRDefault="00937398" w:rsidP="00AF5C6A">
      <w:pPr>
        <w:pStyle w:val="ListParagraph"/>
        <w:numPr>
          <w:ilvl w:val="0"/>
          <w:numId w:val="13"/>
        </w:numPr>
        <w:spacing w:after="0" w:line="276" w:lineRule="auto"/>
        <w:jc w:val="both"/>
        <w:rPr>
          <w:rFonts w:ascii="Calibri" w:eastAsia="Times New Roman" w:hAnsi="Calibri" w:cs="Calibri"/>
          <w:color w:val="000000"/>
          <w:lang w:val="en-US" w:eastAsia="en-IE"/>
        </w:rPr>
      </w:pPr>
      <w:r w:rsidRPr="00AF5C6A">
        <w:rPr>
          <w:rFonts w:ascii="Calibri" w:eastAsia="Times New Roman" w:hAnsi="Calibri" w:cs="Calibri"/>
          <w:color w:val="000000"/>
          <w:lang w:val="en-US" w:eastAsia="en-IE"/>
        </w:rPr>
        <w:t>A high level of human health protection shall be ensured in the definition and implementation of all Union policies and activities.</w:t>
      </w:r>
    </w:p>
    <w:p w14:paraId="42EE7C15" w14:textId="68E2E54A" w:rsidR="00937398" w:rsidRPr="00AF5C6A" w:rsidRDefault="00937398" w:rsidP="00AF5C6A">
      <w:pPr>
        <w:pStyle w:val="ListParagraph"/>
        <w:numPr>
          <w:ilvl w:val="0"/>
          <w:numId w:val="13"/>
        </w:numPr>
        <w:spacing w:after="0" w:line="276" w:lineRule="auto"/>
        <w:jc w:val="both"/>
        <w:rPr>
          <w:rFonts w:ascii="Calibri" w:eastAsia="Times New Roman" w:hAnsi="Calibri" w:cs="Calibri"/>
          <w:color w:val="000000"/>
          <w:lang w:val="en-US" w:eastAsia="en-IE"/>
        </w:rPr>
      </w:pPr>
      <w:r w:rsidRPr="00AF5C6A">
        <w:rPr>
          <w:rFonts w:ascii="Calibri" w:eastAsia="Times New Roman" w:hAnsi="Calibri" w:cs="Calibri"/>
          <w:color w:val="000000"/>
          <w:lang w:val="en-US" w:eastAsia="en-IE"/>
        </w:rPr>
        <w:t xml:space="preserve">Union action (...) shall be directed towards improving public health, preventing physical and mental illness and diseases, and obviating sources of danger to physical and mental health. </w:t>
      </w:r>
    </w:p>
    <w:p w14:paraId="0BE3236F" w14:textId="77777777" w:rsidR="006270B5" w:rsidRPr="00937398" w:rsidRDefault="006270B5" w:rsidP="00AF5C6A">
      <w:pPr>
        <w:spacing w:after="0" w:line="276" w:lineRule="auto"/>
        <w:ind w:left="720"/>
        <w:jc w:val="both"/>
        <w:rPr>
          <w:rFonts w:ascii="Calibri" w:eastAsia="Times New Roman" w:hAnsi="Calibri" w:cs="Calibri"/>
          <w:color w:val="000000"/>
          <w:lang w:val="en-US" w:eastAsia="en-IE"/>
        </w:rPr>
      </w:pPr>
    </w:p>
    <w:p w14:paraId="521B1090" w14:textId="77777777" w:rsidR="00937398" w:rsidRPr="00937398" w:rsidRDefault="00937398" w:rsidP="00AF5C6A">
      <w:pPr>
        <w:spacing w:after="0" w:line="276" w:lineRule="auto"/>
        <w:jc w:val="both"/>
        <w:rPr>
          <w:rFonts w:ascii="Calibri" w:eastAsia="Times New Roman" w:hAnsi="Calibri" w:cs="Calibri"/>
          <w:color w:val="000000"/>
          <w:lang w:val="en-US" w:eastAsia="en-IE"/>
        </w:rPr>
      </w:pPr>
      <w:r w:rsidRPr="00937398">
        <w:rPr>
          <w:rFonts w:ascii="Calibri" w:eastAsia="Times New Roman" w:hAnsi="Calibri" w:cs="Calibri"/>
          <w:b/>
          <w:color w:val="000000"/>
          <w:lang w:val="en-US" w:eastAsia="en-IE"/>
        </w:rPr>
        <w:t>5. Vaccination CANNOT be mandatory (</w:t>
      </w:r>
      <w:r w:rsidRPr="00937398">
        <w:rPr>
          <w:rFonts w:ascii="Calibri" w:eastAsia="Times New Roman" w:hAnsi="Calibri" w:cs="Calibri"/>
          <w:color w:val="000000"/>
          <w:lang w:val="en-US" w:eastAsia="en-IE"/>
        </w:rPr>
        <w:t>Council of Europe - Resolution 2361 of 2021)</w:t>
      </w:r>
    </w:p>
    <w:p w14:paraId="73574378" w14:textId="5E3B57FD" w:rsidR="00937398" w:rsidRDefault="00937398" w:rsidP="00AF5C6A">
      <w:pPr>
        <w:spacing w:after="0" w:line="276" w:lineRule="auto"/>
        <w:jc w:val="both"/>
        <w:rPr>
          <w:rFonts w:ascii="Calibri" w:eastAsia="Times New Roman" w:hAnsi="Calibri" w:cs="Calibri"/>
          <w:color w:val="000000"/>
          <w:lang w:val="en-US" w:eastAsia="en-IE"/>
        </w:rPr>
      </w:pPr>
      <w:r w:rsidRPr="00937398">
        <w:rPr>
          <w:rFonts w:ascii="Calibri" w:eastAsia="Times New Roman" w:hAnsi="Calibri" w:cs="Calibri"/>
          <w:color w:val="000000"/>
          <w:lang w:val="en-US" w:eastAsia="en-IE"/>
        </w:rPr>
        <w:t xml:space="preserve"> “</w:t>
      </w:r>
      <w:r w:rsidR="00AF5C6A">
        <w:rPr>
          <w:rFonts w:ascii="Calibri" w:eastAsia="Times New Roman" w:hAnsi="Calibri" w:cs="Calibri"/>
          <w:color w:val="000000"/>
          <w:lang w:val="en-US" w:eastAsia="en-IE"/>
        </w:rPr>
        <w:t>…</w:t>
      </w:r>
      <w:r w:rsidRPr="00937398">
        <w:rPr>
          <w:rFonts w:ascii="Calibri" w:eastAsia="Times New Roman" w:hAnsi="Calibri" w:cs="Calibri"/>
          <w:i/>
          <w:iCs/>
          <w:color w:val="000000"/>
          <w:lang w:val="en-US" w:eastAsia="en-IE"/>
        </w:rPr>
        <w:t>with respect to ensuring high vaccine uptake: ensure that citizens are informed that the vaccination is NOT mandatory and that no one is politically, socially, or otherwise pressured to get themselves vaccinated, if they do not wish to do so themselves; and ensure that no one is discriminated against for not having been vaccinated, due to possible health risks or not wanting to be vaccinated</w:t>
      </w:r>
      <w:r w:rsidRPr="00937398">
        <w:rPr>
          <w:rFonts w:ascii="Calibri" w:eastAsia="Times New Roman" w:hAnsi="Calibri" w:cs="Calibri"/>
          <w:color w:val="000000"/>
          <w:lang w:val="en-US" w:eastAsia="en-IE"/>
        </w:rPr>
        <w:t>”</w:t>
      </w:r>
      <w:r w:rsidR="00AF5C6A">
        <w:rPr>
          <w:rFonts w:ascii="Calibri" w:eastAsia="Times New Roman" w:hAnsi="Calibri" w:cs="Calibri"/>
          <w:color w:val="000000"/>
          <w:lang w:val="en-US" w:eastAsia="en-IE"/>
        </w:rPr>
        <w:t>.</w:t>
      </w:r>
    </w:p>
    <w:p w14:paraId="7231AB0E" w14:textId="77777777" w:rsidR="006270B5" w:rsidRPr="00937398" w:rsidRDefault="006270B5" w:rsidP="00AF5C6A">
      <w:pPr>
        <w:spacing w:after="0" w:line="276" w:lineRule="auto"/>
        <w:jc w:val="both"/>
        <w:rPr>
          <w:rFonts w:ascii="Calibri" w:eastAsia="Times New Roman" w:hAnsi="Calibri" w:cs="Calibri"/>
          <w:color w:val="000000"/>
          <w:lang w:val="en-US" w:eastAsia="en-IE"/>
        </w:rPr>
      </w:pPr>
    </w:p>
    <w:p w14:paraId="75C446A8" w14:textId="77777777" w:rsidR="00937398" w:rsidRPr="00937398" w:rsidRDefault="00937398" w:rsidP="00AF5C6A">
      <w:pPr>
        <w:spacing w:after="0" w:line="276" w:lineRule="auto"/>
        <w:jc w:val="both"/>
        <w:rPr>
          <w:rFonts w:ascii="Calibri" w:eastAsia="Times New Roman" w:hAnsi="Calibri" w:cs="Calibri"/>
          <w:b/>
          <w:color w:val="000000"/>
          <w:lang w:val="en-US" w:eastAsia="en-IE"/>
        </w:rPr>
      </w:pPr>
      <w:r w:rsidRPr="00937398">
        <w:rPr>
          <w:rFonts w:ascii="Calibri" w:eastAsia="Times New Roman" w:hAnsi="Calibri" w:cs="Calibri"/>
          <w:b/>
          <w:color w:val="000000"/>
          <w:lang w:val="en-US" w:eastAsia="en-IE"/>
        </w:rPr>
        <w:t>6. Protection of body integrity</w:t>
      </w:r>
    </w:p>
    <w:p w14:paraId="05D782D0" w14:textId="767C3AFC" w:rsidR="00937398" w:rsidRDefault="00937398" w:rsidP="00AF5C6A">
      <w:pPr>
        <w:spacing w:after="0" w:line="276" w:lineRule="auto"/>
        <w:jc w:val="both"/>
        <w:rPr>
          <w:rFonts w:ascii="Calibri" w:eastAsia="Times New Roman" w:hAnsi="Calibri" w:cs="Calibri"/>
          <w:color w:val="000000"/>
          <w:lang w:val="en-US" w:eastAsia="en-IE"/>
        </w:rPr>
      </w:pPr>
      <w:r w:rsidRPr="00937398">
        <w:rPr>
          <w:rFonts w:ascii="Calibri" w:eastAsia="Times New Roman" w:hAnsi="Calibri" w:cs="Calibri"/>
          <w:color w:val="000000"/>
          <w:lang w:val="en-US" w:eastAsia="en-IE"/>
        </w:rPr>
        <w:t xml:space="preserve">The European Court of Human Rights has emphasized that a person’s bodily integrity concerns the most intimate aspects of one’s private life. </w:t>
      </w:r>
    </w:p>
    <w:p w14:paraId="16EFBBFA" w14:textId="77777777" w:rsidR="006270B5" w:rsidRPr="00937398" w:rsidRDefault="006270B5" w:rsidP="00AF5C6A">
      <w:pPr>
        <w:spacing w:after="0" w:line="276" w:lineRule="auto"/>
        <w:jc w:val="both"/>
        <w:rPr>
          <w:rFonts w:ascii="Calibri" w:eastAsia="Times New Roman" w:hAnsi="Calibri" w:cs="Calibri"/>
          <w:color w:val="000000"/>
          <w:lang w:val="en-US" w:eastAsia="en-IE"/>
        </w:rPr>
      </w:pPr>
    </w:p>
    <w:p w14:paraId="37C208B4" w14:textId="667E6B1C" w:rsidR="00937398" w:rsidRPr="00937398" w:rsidRDefault="00937398" w:rsidP="00AF5C6A">
      <w:pPr>
        <w:spacing w:after="0" w:line="276" w:lineRule="auto"/>
        <w:jc w:val="both"/>
        <w:rPr>
          <w:rFonts w:ascii="Calibri" w:eastAsia="Times New Roman" w:hAnsi="Calibri" w:cs="Calibri"/>
          <w:b/>
          <w:color w:val="000000"/>
          <w:lang w:val="en-US" w:eastAsia="en-IE"/>
        </w:rPr>
      </w:pPr>
      <w:r w:rsidRPr="00937398">
        <w:rPr>
          <w:rFonts w:ascii="Calibri" w:eastAsia="Times New Roman" w:hAnsi="Calibri" w:cs="Calibri"/>
          <w:b/>
          <w:color w:val="000000"/>
          <w:lang w:val="en-US" w:eastAsia="en-IE"/>
        </w:rPr>
        <w:t xml:space="preserve">7. The </w:t>
      </w:r>
      <w:r w:rsidR="00AF5C6A">
        <w:rPr>
          <w:rFonts w:ascii="Calibri" w:eastAsia="Times New Roman" w:hAnsi="Calibri" w:cs="Calibri"/>
          <w:b/>
          <w:color w:val="000000"/>
          <w:lang w:val="en-US" w:eastAsia="en-IE"/>
        </w:rPr>
        <w:t>Regulation</w:t>
      </w:r>
      <w:r w:rsidRPr="00937398">
        <w:rPr>
          <w:rFonts w:ascii="Calibri" w:eastAsia="Times New Roman" w:hAnsi="Calibri" w:cs="Calibri"/>
          <w:b/>
          <w:color w:val="000000"/>
          <w:lang w:val="en-US" w:eastAsia="en-IE"/>
        </w:rPr>
        <w:t xml:space="preserve"> in effect encourages discrimination against those not vaccinated</w:t>
      </w:r>
    </w:p>
    <w:p w14:paraId="62366B8F" w14:textId="6723EC41" w:rsidR="00937398" w:rsidRPr="00937398" w:rsidRDefault="00937398" w:rsidP="00AF5C6A">
      <w:pPr>
        <w:spacing w:after="0" w:line="276" w:lineRule="auto"/>
        <w:jc w:val="both"/>
        <w:rPr>
          <w:rFonts w:ascii="Calibri" w:eastAsia="Times New Roman" w:hAnsi="Calibri" w:cs="Calibri"/>
          <w:color w:val="000000"/>
          <w:lang w:val="en-US" w:eastAsia="en-IE"/>
        </w:rPr>
      </w:pPr>
      <w:r w:rsidRPr="00937398">
        <w:rPr>
          <w:rFonts w:ascii="Calibri" w:eastAsia="Times New Roman" w:hAnsi="Calibri" w:cs="Calibri"/>
          <w:color w:val="000000"/>
          <w:lang w:val="en-US" w:eastAsia="en-IE"/>
        </w:rPr>
        <w:t>While the Regulation states that it “</w:t>
      </w:r>
      <w:r w:rsidRPr="00937398">
        <w:rPr>
          <w:rFonts w:ascii="Calibri" w:eastAsia="Times New Roman" w:hAnsi="Calibri" w:cs="Calibri"/>
          <w:i/>
          <w:iCs/>
          <w:color w:val="000000"/>
          <w:lang w:val="en-US" w:eastAsia="en-IE"/>
        </w:rPr>
        <w:t>cannot be interpreted as establishing an obligation or right to be vaccinated</w:t>
      </w:r>
      <w:r w:rsidRPr="00937398">
        <w:rPr>
          <w:rFonts w:ascii="Calibri" w:eastAsia="Times New Roman" w:hAnsi="Calibri" w:cs="Calibri"/>
          <w:color w:val="000000"/>
          <w:lang w:val="en-US" w:eastAsia="en-IE"/>
        </w:rPr>
        <w:t xml:space="preserve">” in fact, it promotes such practice. </w:t>
      </w:r>
      <w:r w:rsidR="002138E2">
        <w:rPr>
          <w:rFonts w:ascii="Calibri" w:eastAsia="Times New Roman" w:hAnsi="Calibri" w:cs="Calibri"/>
          <w:color w:val="000000"/>
          <w:lang w:val="en-US" w:eastAsia="en-IE"/>
        </w:rPr>
        <w:t xml:space="preserve"> </w:t>
      </w:r>
      <w:r w:rsidRPr="00937398">
        <w:rPr>
          <w:rFonts w:ascii="Calibri" w:eastAsia="Times New Roman" w:hAnsi="Calibri" w:cs="Calibri"/>
          <w:color w:val="000000"/>
          <w:lang w:val="en-US" w:eastAsia="en-IE"/>
        </w:rPr>
        <w:t xml:space="preserve">The </w:t>
      </w:r>
      <w:r w:rsidR="00AF5C6A">
        <w:rPr>
          <w:rFonts w:ascii="Calibri" w:eastAsia="Times New Roman" w:hAnsi="Calibri" w:cs="Calibri"/>
          <w:color w:val="000000"/>
          <w:lang w:val="en-US" w:eastAsia="en-IE"/>
        </w:rPr>
        <w:t>Regulation</w:t>
      </w:r>
      <w:r w:rsidRPr="00937398">
        <w:rPr>
          <w:rFonts w:ascii="Calibri" w:eastAsia="Times New Roman" w:hAnsi="Calibri" w:cs="Calibri"/>
          <w:color w:val="000000"/>
          <w:lang w:val="en-US" w:eastAsia="en-IE"/>
        </w:rPr>
        <w:t xml:space="preserve"> encourages the exercise of discrimination against those who “</w:t>
      </w:r>
      <w:r w:rsidRPr="00937398">
        <w:rPr>
          <w:rFonts w:ascii="Calibri" w:eastAsia="Times New Roman" w:hAnsi="Calibri" w:cs="Calibri"/>
          <w:i/>
          <w:iCs/>
          <w:color w:val="000000"/>
          <w:lang w:val="en-US" w:eastAsia="en-IE"/>
        </w:rPr>
        <w:t>are not part of the target group for which the vaccine is currently recommended, such as children, or because they have not yet had the opportunity or do not wish to be vaccinated</w:t>
      </w:r>
      <w:r w:rsidRPr="00937398">
        <w:rPr>
          <w:rFonts w:ascii="Calibri" w:eastAsia="Times New Roman" w:hAnsi="Calibri" w:cs="Calibri"/>
          <w:color w:val="000000"/>
          <w:lang w:val="en-US" w:eastAsia="en-IE"/>
        </w:rPr>
        <w:t>”.</w:t>
      </w:r>
    </w:p>
    <w:p w14:paraId="63E67755" w14:textId="77777777" w:rsidR="006270B5" w:rsidRDefault="006270B5" w:rsidP="00AF5C6A">
      <w:pPr>
        <w:spacing w:after="0" w:line="276" w:lineRule="auto"/>
        <w:jc w:val="both"/>
        <w:rPr>
          <w:rFonts w:ascii="Calibri" w:eastAsia="Times New Roman" w:hAnsi="Calibri" w:cs="Calibri"/>
          <w:bCs/>
          <w:color w:val="000000"/>
          <w:lang w:val="en-US" w:eastAsia="en-IE"/>
        </w:rPr>
      </w:pPr>
    </w:p>
    <w:p w14:paraId="5CC93C97" w14:textId="48404010" w:rsidR="00937398" w:rsidRPr="00937398" w:rsidRDefault="00937398" w:rsidP="00AF5C6A">
      <w:pPr>
        <w:spacing w:after="0" w:line="276" w:lineRule="auto"/>
        <w:jc w:val="both"/>
        <w:rPr>
          <w:rFonts w:ascii="Calibri" w:eastAsia="Times New Roman" w:hAnsi="Calibri" w:cs="Calibri"/>
          <w:bCs/>
          <w:color w:val="000000"/>
          <w:lang w:val="en-US" w:eastAsia="en-IE"/>
        </w:rPr>
      </w:pPr>
      <w:r w:rsidRPr="00937398">
        <w:rPr>
          <w:rFonts w:ascii="Calibri" w:eastAsia="Times New Roman" w:hAnsi="Calibri" w:cs="Calibri"/>
          <w:bCs/>
          <w:color w:val="000000"/>
          <w:lang w:val="en-US" w:eastAsia="en-IE"/>
        </w:rPr>
        <w:t xml:space="preserve">It also stipulates that the </w:t>
      </w:r>
      <w:r w:rsidRPr="00937398">
        <w:rPr>
          <w:rFonts w:ascii="Calibri" w:eastAsia="Times New Roman" w:hAnsi="Calibri" w:cs="Calibri"/>
          <w:b/>
          <w:color w:val="000000"/>
          <w:lang w:val="en-US" w:eastAsia="en-IE"/>
        </w:rPr>
        <w:t>right to free movement</w:t>
      </w:r>
      <w:r w:rsidRPr="00937398">
        <w:rPr>
          <w:rFonts w:ascii="Calibri" w:eastAsia="Times New Roman" w:hAnsi="Calibri" w:cs="Calibri"/>
          <w:bCs/>
          <w:color w:val="000000"/>
          <w:lang w:val="en-US" w:eastAsia="en-IE"/>
        </w:rPr>
        <w:t xml:space="preserve"> should be subject to limitations against any such group, including but not limited to mandatory testing and quarantine. </w:t>
      </w:r>
    </w:p>
    <w:p w14:paraId="221E2822" w14:textId="77777777" w:rsidR="006270B5" w:rsidRDefault="006270B5" w:rsidP="00AF5C6A">
      <w:pPr>
        <w:spacing w:after="0" w:line="276" w:lineRule="auto"/>
        <w:jc w:val="both"/>
        <w:rPr>
          <w:rFonts w:ascii="Calibri" w:eastAsia="Times New Roman" w:hAnsi="Calibri" w:cs="Calibri"/>
          <w:b/>
          <w:color w:val="000000"/>
          <w:lang w:val="en-US" w:eastAsia="en-IE"/>
        </w:rPr>
      </w:pPr>
    </w:p>
    <w:p w14:paraId="2F265F6C" w14:textId="1B7CE9B3" w:rsidR="00937398" w:rsidRDefault="00937398" w:rsidP="00AF5C6A">
      <w:pPr>
        <w:spacing w:after="0" w:line="276" w:lineRule="auto"/>
        <w:jc w:val="both"/>
        <w:rPr>
          <w:rFonts w:ascii="Calibri" w:eastAsia="Times New Roman" w:hAnsi="Calibri" w:cs="Calibri"/>
          <w:b/>
          <w:color w:val="000000"/>
          <w:lang w:val="en-US" w:eastAsia="en-IE"/>
        </w:rPr>
      </w:pPr>
      <w:r w:rsidRPr="00937398">
        <w:rPr>
          <w:rFonts w:ascii="Calibri" w:eastAsia="Times New Roman" w:hAnsi="Calibri" w:cs="Calibri"/>
          <w:b/>
          <w:color w:val="000000"/>
          <w:lang w:val="en-US" w:eastAsia="en-IE"/>
        </w:rPr>
        <w:t>Compulsory medical intervention constitutes an interference with this Right.</w:t>
      </w:r>
    </w:p>
    <w:p w14:paraId="6883BEEF" w14:textId="77777777" w:rsidR="00E765ED" w:rsidRDefault="00E765ED" w:rsidP="00AF5C6A">
      <w:pPr>
        <w:spacing w:after="0" w:line="276" w:lineRule="auto"/>
        <w:jc w:val="both"/>
        <w:rPr>
          <w:rFonts w:ascii="Calibri" w:eastAsia="Times New Roman" w:hAnsi="Calibri" w:cs="Calibri"/>
          <w:b/>
          <w:bCs/>
          <w:color w:val="000000"/>
          <w:lang w:val="en-GB" w:eastAsia="en-IE"/>
        </w:rPr>
      </w:pPr>
    </w:p>
    <w:p w14:paraId="20F89BD3" w14:textId="618F092E" w:rsidR="00937398" w:rsidRDefault="00E765ED" w:rsidP="00AF5C6A">
      <w:pPr>
        <w:spacing w:after="0" w:line="276" w:lineRule="auto"/>
        <w:jc w:val="center"/>
        <w:rPr>
          <w:rFonts w:ascii="Calibri" w:eastAsia="Times New Roman" w:hAnsi="Calibri" w:cs="Calibri"/>
          <w:b/>
          <w:bCs/>
          <w:i/>
          <w:iCs/>
          <w:color w:val="000000"/>
          <w:u w:val="single"/>
          <w:lang w:val="en-GB" w:eastAsia="en-IE"/>
        </w:rPr>
      </w:pPr>
      <w:r w:rsidRPr="006270B5">
        <w:rPr>
          <w:rFonts w:ascii="Calibri" w:eastAsia="Times New Roman" w:hAnsi="Calibri" w:cs="Calibri"/>
          <w:b/>
          <w:bCs/>
          <w:i/>
          <w:iCs/>
          <w:color w:val="000000"/>
          <w:u w:val="single"/>
          <w:lang w:val="en-GB" w:eastAsia="en-IE"/>
        </w:rPr>
        <w:t xml:space="preserve">Vote </w:t>
      </w:r>
      <w:r w:rsidR="00937398" w:rsidRPr="00937398">
        <w:rPr>
          <w:rFonts w:ascii="Calibri" w:eastAsia="Times New Roman" w:hAnsi="Calibri" w:cs="Calibri"/>
          <w:b/>
          <w:bCs/>
          <w:i/>
          <w:iCs/>
          <w:color w:val="000000"/>
          <w:u w:val="single"/>
          <w:lang w:val="en-GB" w:eastAsia="en-IE"/>
        </w:rPr>
        <w:t xml:space="preserve">‘NO’ </w:t>
      </w:r>
      <w:r w:rsidRPr="006270B5">
        <w:rPr>
          <w:rFonts w:ascii="Calibri" w:eastAsia="Times New Roman" w:hAnsi="Calibri" w:cs="Calibri"/>
          <w:b/>
          <w:bCs/>
          <w:i/>
          <w:iCs/>
          <w:color w:val="000000"/>
          <w:u w:val="single"/>
          <w:lang w:val="en-GB" w:eastAsia="en-IE"/>
        </w:rPr>
        <w:t>to the Regulation – due to it being</w:t>
      </w:r>
      <w:r w:rsidR="00937398" w:rsidRPr="00937398">
        <w:rPr>
          <w:rFonts w:ascii="Calibri" w:eastAsia="Times New Roman" w:hAnsi="Calibri" w:cs="Calibri"/>
          <w:b/>
          <w:bCs/>
          <w:i/>
          <w:iCs/>
          <w:color w:val="000000"/>
          <w:u w:val="single"/>
          <w:lang w:val="en-GB" w:eastAsia="en-IE"/>
        </w:rPr>
        <w:t xml:space="preserve"> B</w:t>
      </w:r>
      <w:r w:rsidR="00C26924">
        <w:rPr>
          <w:rFonts w:ascii="Calibri" w:eastAsia="Times New Roman" w:hAnsi="Calibri" w:cs="Calibri"/>
          <w:b/>
          <w:bCs/>
          <w:i/>
          <w:iCs/>
          <w:color w:val="000000"/>
          <w:u w:val="single"/>
          <w:lang w:val="en-GB" w:eastAsia="en-IE"/>
        </w:rPr>
        <w:t>ad</w:t>
      </w:r>
      <w:r w:rsidR="00937398" w:rsidRPr="00937398">
        <w:rPr>
          <w:rFonts w:ascii="Calibri" w:eastAsia="Times New Roman" w:hAnsi="Calibri" w:cs="Calibri"/>
          <w:b/>
          <w:bCs/>
          <w:i/>
          <w:iCs/>
          <w:color w:val="000000"/>
          <w:u w:val="single"/>
          <w:lang w:val="en-GB" w:eastAsia="en-IE"/>
        </w:rPr>
        <w:t xml:space="preserve"> L</w:t>
      </w:r>
      <w:r w:rsidR="00C26924">
        <w:rPr>
          <w:rFonts w:ascii="Calibri" w:eastAsia="Times New Roman" w:hAnsi="Calibri" w:cs="Calibri"/>
          <w:b/>
          <w:bCs/>
          <w:i/>
          <w:iCs/>
          <w:color w:val="000000"/>
          <w:u w:val="single"/>
          <w:lang w:val="en-GB" w:eastAsia="en-IE"/>
        </w:rPr>
        <w:t>egislation</w:t>
      </w:r>
    </w:p>
    <w:p w14:paraId="4BE1A87D" w14:textId="77777777" w:rsidR="00AF5C6A" w:rsidRPr="00937398" w:rsidRDefault="00AF5C6A" w:rsidP="00AF5C6A">
      <w:pPr>
        <w:spacing w:after="0" w:line="276" w:lineRule="auto"/>
        <w:jc w:val="center"/>
        <w:rPr>
          <w:rFonts w:ascii="Calibri" w:eastAsia="Times New Roman" w:hAnsi="Calibri" w:cs="Calibri"/>
          <w:b/>
          <w:bCs/>
          <w:i/>
          <w:iCs/>
          <w:color w:val="000000"/>
          <w:u w:val="single"/>
          <w:lang w:val="en-GB" w:eastAsia="en-IE"/>
        </w:rPr>
      </w:pPr>
    </w:p>
    <w:p w14:paraId="0DF8C0BD" w14:textId="3A226023" w:rsidR="006270B5"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t>Th</w:t>
      </w:r>
      <w:r w:rsidR="00E765ED">
        <w:rPr>
          <w:rFonts w:ascii="Calibri" w:eastAsia="Times New Roman" w:hAnsi="Calibri" w:cs="Calibri"/>
          <w:color w:val="000000"/>
          <w:lang w:val="en-GB" w:eastAsia="en-IE"/>
        </w:rPr>
        <w:t xml:space="preserve">e Regulation </w:t>
      </w:r>
      <w:r w:rsidRPr="00937398">
        <w:rPr>
          <w:rFonts w:ascii="Calibri" w:eastAsia="Times New Roman" w:hAnsi="Calibri" w:cs="Calibri"/>
          <w:color w:val="000000"/>
          <w:lang w:val="en-GB" w:eastAsia="en-IE"/>
        </w:rPr>
        <w:t xml:space="preserve">does not deserve to become law, based on its performance on </w:t>
      </w:r>
      <w:r w:rsidRPr="00937398">
        <w:rPr>
          <w:rFonts w:ascii="Calibri" w:eastAsia="Times New Roman" w:hAnsi="Calibri" w:cs="Calibri"/>
          <w:b/>
          <w:bCs/>
          <w:color w:val="000000"/>
          <w:lang w:val="en-GB" w:eastAsia="en-IE"/>
        </w:rPr>
        <w:t>Better Regulation standards</w:t>
      </w:r>
      <w:r w:rsidRPr="00937398">
        <w:rPr>
          <w:rFonts w:ascii="Calibri" w:eastAsia="Times New Roman" w:hAnsi="Calibri" w:cs="Calibri"/>
          <w:color w:val="000000"/>
          <w:lang w:val="en-GB" w:eastAsia="en-IE"/>
        </w:rPr>
        <w:t>:</w:t>
      </w:r>
    </w:p>
    <w:p w14:paraId="53CF01EB" w14:textId="77777777" w:rsidR="00AF5C6A" w:rsidRPr="00937398" w:rsidRDefault="00AF5C6A" w:rsidP="00AF5C6A">
      <w:pPr>
        <w:spacing w:after="0" w:line="276" w:lineRule="auto"/>
        <w:jc w:val="both"/>
        <w:rPr>
          <w:rFonts w:ascii="Calibri" w:eastAsia="Times New Roman" w:hAnsi="Calibri" w:cs="Calibri"/>
          <w:color w:val="000000"/>
          <w:lang w:val="en-GB" w:eastAsia="en-IE"/>
        </w:rPr>
      </w:pPr>
    </w:p>
    <w:p w14:paraId="25480F00" w14:textId="2888B276" w:rsidR="00937398" w:rsidRPr="00937398"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b/>
          <w:bCs/>
          <w:color w:val="000000"/>
          <w:lang w:val="en-GB" w:eastAsia="en-IE"/>
        </w:rPr>
        <w:t>1.</w:t>
      </w:r>
      <w:r w:rsidRPr="00937398">
        <w:rPr>
          <w:rFonts w:ascii="Calibri" w:eastAsia="Times New Roman" w:hAnsi="Calibri" w:cs="Calibri"/>
          <w:color w:val="000000"/>
          <w:lang w:val="en-GB" w:eastAsia="en-IE"/>
        </w:rPr>
        <w:t xml:space="preserve"> </w:t>
      </w:r>
      <w:r w:rsidRPr="00937398">
        <w:rPr>
          <w:rFonts w:ascii="Calibri" w:eastAsia="Times New Roman" w:hAnsi="Calibri" w:cs="Calibri"/>
          <w:b/>
          <w:bCs/>
          <w:color w:val="000000"/>
          <w:lang w:val="en-GB" w:eastAsia="en-IE"/>
        </w:rPr>
        <w:t xml:space="preserve">No impact assessment is backing the alleged NECESSITY for a Digital </w:t>
      </w:r>
      <w:r w:rsidR="002138E2">
        <w:rPr>
          <w:rFonts w:ascii="Calibri" w:eastAsia="Times New Roman" w:hAnsi="Calibri" w:cs="Calibri"/>
          <w:b/>
          <w:bCs/>
          <w:color w:val="000000"/>
          <w:lang w:val="en-GB" w:eastAsia="en-IE"/>
        </w:rPr>
        <w:t xml:space="preserve">Green </w:t>
      </w:r>
      <w:r w:rsidRPr="00937398">
        <w:rPr>
          <w:rFonts w:ascii="Calibri" w:eastAsia="Times New Roman" w:hAnsi="Calibri" w:cs="Calibri"/>
          <w:b/>
          <w:bCs/>
          <w:color w:val="000000"/>
          <w:lang w:val="en-GB" w:eastAsia="en-IE"/>
        </w:rPr>
        <w:t>Certificate</w:t>
      </w:r>
    </w:p>
    <w:p w14:paraId="587442F3" w14:textId="63BCD1A7" w:rsidR="00937398" w:rsidRPr="00937398"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t xml:space="preserve">The </w:t>
      </w:r>
      <w:r w:rsidR="002138E2">
        <w:rPr>
          <w:rFonts w:ascii="Calibri" w:eastAsia="Times New Roman" w:hAnsi="Calibri" w:cs="Calibri"/>
          <w:color w:val="000000"/>
          <w:lang w:val="en-GB" w:eastAsia="en-IE"/>
        </w:rPr>
        <w:t>proposal</w:t>
      </w:r>
      <w:r w:rsidRPr="00937398">
        <w:rPr>
          <w:rFonts w:ascii="Calibri" w:eastAsia="Times New Roman" w:hAnsi="Calibri" w:cs="Calibri"/>
          <w:color w:val="000000"/>
          <w:lang w:val="en-GB" w:eastAsia="en-IE"/>
        </w:rPr>
        <w:t xml:space="preserve"> </w:t>
      </w:r>
      <w:r w:rsidRPr="00937398">
        <w:rPr>
          <w:rFonts w:ascii="Calibri" w:eastAsia="Times New Roman" w:hAnsi="Calibri" w:cs="Calibri"/>
          <w:b/>
          <w:bCs/>
          <w:color w:val="000000"/>
          <w:lang w:val="en-GB" w:eastAsia="en-IE"/>
        </w:rPr>
        <w:t>lacks the usual accompanying Impact Assessment and Public Consultation</w:t>
      </w:r>
      <w:r w:rsidRPr="00937398">
        <w:rPr>
          <w:rFonts w:ascii="Calibri" w:eastAsia="Times New Roman" w:hAnsi="Calibri" w:cs="Calibri"/>
          <w:color w:val="000000"/>
          <w:lang w:val="en-GB" w:eastAsia="en-IE"/>
        </w:rPr>
        <w:t xml:space="preserve">, and the </w:t>
      </w:r>
      <w:r w:rsidR="006270B5">
        <w:rPr>
          <w:rFonts w:ascii="Calibri" w:eastAsia="Times New Roman" w:hAnsi="Calibri" w:cs="Calibri"/>
          <w:color w:val="000000"/>
          <w:lang w:val="en-GB" w:eastAsia="en-IE"/>
        </w:rPr>
        <w:t>“</w:t>
      </w:r>
      <w:r w:rsidRPr="00937398">
        <w:rPr>
          <w:rFonts w:ascii="Calibri" w:eastAsia="Times New Roman" w:hAnsi="Calibri" w:cs="Calibri"/>
          <w:i/>
          <w:iCs/>
          <w:color w:val="000000"/>
          <w:lang w:val="en-GB" w:eastAsia="en-IE"/>
        </w:rPr>
        <w:t xml:space="preserve">Explanatory </w:t>
      </w:r>
      <w:r w:rsidR="006270B5" w:rsidRPr="00937398">
        <w:rPr>
          <w:rFonts w:ascii="Calibri" w:eastAsia="Times New Roman" w:hAnsi="Calibri" w:cs="Calibri"/>
          <w:i/>
          <w:iCs/>
          <w:color w:val="000000"/>
          <w:lang w:val="en-GB" w:eastAsia="en-IE"/>
        </w:rPr>
        <w:t>Memorandum</w:t>
      </w:r>
      <w:r w:rsidR="006270B5">
        <w:rPr>
          <w:rFonts w:ascii="Calibri" w:eastAsia="Times New Roman" w:hAnsi="Calibri" w:cs="Calibri"/>
          <w:i/>
          <w:iCs/>
          <w:color w:val="000000"/>
          <w:lang w:val="en-GB" w:eastAsia="en-IE"/>
        </w:rPr>
        <w:t>”</w:t>
      </w:r>
      <w:r w:rsidRPr="00937398">
        <w:rPr>
          <w:rFonts w:ascii="Calibri" w:eastAsia="Times New Roman" w:hAnsi="Calibri" w:cs="Calibri"/>
          <w:i/>
          <w:iCs/>
          <w:color w:val="000000"/>
          <w:lang w:val="en-GB" w:eastAsia="en-IE"/>
        </w:rPr>
        <w:t>’</w:t>
      </w:r>
      <w:r w:rsidRPr="00937398">
        <w:rPr>
          <w:rFonts w:ascii="Calibri" w:eastAsia="Times New Roman" w:hAnsi="Calibri" w:cs="Calibri"/>
          <w:color w:val="000000"/>
          <w:lang w:val="en-GB" w:eastAsia="en-IE"/>
        </w:rPr>
        <w:t xml:space="preserve"> stops short at informing us that there was no time for it.</w:t>
      </w:r>
    </w:p>
    <w:p w14:paraId="7F3936D8" w14:textId="3B203C6F" w:rsidR="00937398" w:rsidRPr="00937398" w:rsidRDefault="00AF5C6A" w:rsidP="00AF5C6A">
      <w:pPr>
        <w:spacing w:after="0" w:line="276" w:lineRule="auto"/>
        <w:jc w:val="both"/>
        <w:rPr>
          <w:rFonts w:ascii="Calibri" w:eastAsia="Times New Roman" w:hAnsi="Calibri" w:cs="Calibri"/>
          <w:color w:val="000000"/>
          <w:lang w:val="en-GB" w:eastAsia="en-IE"/>
        </w:rPr>
      </w:pPr>
      <w:r>
        <w:rPr>
          <w:rFonts w:ascii="Calibri" w:eastAsia="Times New Roman" w:hAnsi="Calibri" w:cs="Calibri"/>
          <w:color w:val="000000"/>
          <w:lang w:val="en-GB" w:eastAsia="en-IE"/>
        </w:rPr>
        <w:t xml:space="preserve">One would expect that if </w:t>
      </w:r>
      <w:r w:rsidR="00937398" w:rsidRPr="00937398">
        <w:rPr>
          <w:rFonts w:ascii="Calibri" w:eastAsia="Times New Roman" w:hAnsi="Calibri" w:cs="Calibri"/>
          <w:color w:val="000000"/>
          <w:lang w:val="en-GB" w:eastAsia="en-IE"/>
        </w:rPr>
        <w:t>the evidence of necessity, efficiency and effectiveness, benefits for European policy and positive impact on the fundamental rights of the citizens w</w:t>
      </w:r>
      <w:r>
        <w:rPr>
          <w:rFonts w:ascii="Calibri" w:eastAsia="Times New Roman" w:hAnsi="Calibri" w:cs="Calibri"/>
          <w:color w:val="000000"/>
          <w:lang w:val="en-GB" w:eastAsia="en-IE"/>
        </w:rPr>
        <w:t>ere</w:t>
      </w:r>
      <w:r w:rsidR="00937398" w:rsidRPr="00937398">
        <w:rPr>
          <w:rFonts w:ascii="Calibri" w:eastAsia="Times New Roman" w:hAnsi="Calibri" w:cs="Calibri"/>
          <w:color w:val="000000"/>
          <w:lang w:val="en-GB" w:eastAsia="en-IE"/>
        </w:rPr>
        <w:t xml:space="preserve"> so inescapable, a brief analysis could easily have been provided in the </w:t>
      </w:r>
      <w:r w:rsidR="002138E2">
        <w:rPr>
          <w:rFonts w:ascii="Calibri" w:eastAsia="Times New Roman" w:hAnsi="Calibri" w:cs="Calibri"/>
          <w:color w:val="000000"/>
          <w:lang w:val="en-GB" w:eastAsia="en-IE"/>
        </w:rPr>
        <w:t>proposal</w:t>
      </w:r>
      <w:r w:rsidR="00937398" w:rsidRPr="00937398">
        <w:rPr>
          <w:rFonts w:ascii="Calibri" w:eastAsia="Times New Roman" w:hAnsi="Calibri" w:cs="Calibri"/>
          <w:color w:val="000000"/>
          <w:lang w:val="en-GB" w:eastAsia="en-IE"/>
        </w:rPr>
        <w:t xml:space="preserve"> itself.</w:t>
      </w:r>
    </w:p>
    <w:p w14:paraId="6BE695AA" w14:textId="77777777" w:rsidR="006270B5" w:rsidRDefault="006270B5" w:rsidP="00AF5C6A">
      <w:pPr>
        <w:spacing w:after="0" w:line="276" w:lineRule="auto"/>
        <w:jc w:val="both"/>
        <w:rPr>
          <w:rFonts w:ascii="Calibri" w:eastAsia="Times New Roman" w:hAnsi="Calibri" w:cs="Calibri"/>
          <w:color w:val="000000"/>
          <w:lang w:val="en-GB" w:eastAsia="en-IE"/>
        </w:rPr>
      </w:pPr>
    </w:p>
    <w:p w14:paraId="50FA031D" w14:textId="6E88AB48" w:rsidR="00937398" w:rsidRPr="00937398"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t>It is not sufficient to put “</w:t>
      </w:r>
      <w:r w:rsidRPr="00937398">
        <w:rPr>
          <w:rFonts w:ascii="Calibri" w:eastAsia="Times New Roman" w:hAnsi="Calibri" w:cs="Calibri"/>
          <w:i/>
          <w:iCs/>
          <w:color w:val="000000"/>
          <w:lang w:val="en-GB" w:eastAsia="en-IE"/>
        </w:rPr>
        <w:t>green</w:t>
      </w:r>
      <w:r w:rsidRPr="00937398">
        <w:rPr>
          <w:rFonts w:ascii="Calibri" w:eastAsia="Times New Roman" w:hAnsi="Calibri" w:cs="Calibri"/>
          <w:color w:val="000000"/>
          <w:lang w:val="en-GB" w:eastAsia="en-IE"/>
        </w:rPr>
        <w:t xml:space="preserve">” in a title of a </w:t>
      </w:r>
      <w:r w:rsidR="00AF5C6A">
        <w:rPr>
          <w:rFonts w:ascii="Calibri" w:eastAsia="Times New Roman" w:hAnsi="Calibri" w:cs="Calibri"/>
          <w:color w:val="000000"/>
          <w:lang w:val="en-GB" w:eastAsia="en-IE"/>
        </w:rPr>
        <w:t xml:space="preserve">Regulation </w:t>
      </w:r>
      <w:r w:rsidRPr="00937398">
        <w:rPr>
          <w:rFonts w:ascii="Calibri" w:eastAsia="Times New Roman" w:hAnsi="Calibri" w:cs="Calibri"/>
          <w:color w:val="000000"/>
          <w:lang w:val="en-GB" w:eastAsia="en-IE"/>
        </w:rPr>
        <w:t>in order to make it environmentally friendly. The environmental, social and economic impacts should have been properly analysed.</w:t>
      </w:r>
    </w:p>
    <w:p w14:paraId="494B0DDC" w14:textId="77777777" w:rsidR="006270B5" w:rsidRDefault="006270B5" w:rsidP="00AF5C6A">
      <w:pPr>
        <w:spacing w:after="0" w:line="276" w:lineRule="auto"/>
        <w:jc w:val="both"/>
        <w:rPr>
          <w:rFonts w:ascii="Calibri" w:eastAsia="Times New Roman" w:hAnsi="Calibri" w:cs="Calibri"/>
          <w:color w:val="000000"/>
          <w:lang w:val="en-GB" w:eastAsia="en-IE"/>
        </w:rPr>
      </w:pPr>
    </w:p>
    <w:p w14:paraId="2256591C" w14:textId="18D1218F" w:rsidR="00937398"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lastRenderedPageBreak/>
        <w:t xml:space="preserve">It is not because this </w:t>
      </w:r>
      <w:r w:rsidR="002138E2">
        <w:rPr>
          <w:rFonts w:ascii="Calibri" w:eastAsia="Times New Roman" w:hAnsi="Calibri" w:cs="Calibri"/>
          <w:color w:val="000000"/>
          <w:lang w:val="en-GB" w:eastAsia="en-IE"/>
        </w:rPr>
        <w:t xml:space="preserve">Digital Green </w:t>
      </w:r>
      <w:r w:rsidRPr="00937398">
        <w:rPr>
          <w:rFonts w:ascii="Calibri" w:eastAsia="Times New Roman" w:hAnsi="Calibri" w:cs="Calibri"/>
          <w:color w:val="000000"/>
          <w:lang w:val="en-GB" w:eastAsia="en-IE"/>
        </w:rPr>
        <w:t xml:space="preserve">Certificate will cost the </w:t>
      </w:r>
      <w:r w:rsidR="002138E2">
        <w:rPr>
          <w:rFonts w:ascii="Calibri" w:eastAsia="Times New Roman" w:hAnsi="Calibri" w:cs="Calibri"/>
          <w:color w:val="000000"/>
          <w:lang w:val="en-GB" w:eastAsia="en-IE"/>
        </w:rPr>
        <w:t xml:space="preserve">European </w:t>
      </w:r>
      <w:r w:rsidRPr="00937398">
        <w:rPr>
          <w:rFonts w:ascii="Calibri" w:eastAsia="Times New Roman" w:hAnsi="Calibri" w:cs="Calibri"/>
          <w:color w:val="000000"/>
          <w:lang w:val="en-GB" w:eastAsia="en-IE"/>
        </w:rPr>
        <w:t>Union “</w:t>
      </w:r>
      <w:r w:rsidRPr="00937398">
        <w:rPr>
          <w:rFonts w:ascii="Calibri" w:eastAsia="Times New Roman" w:hAnsi="Calibri" w:cs="Calibri"/>
          <w:i/>
          <w:iCs/>
          <w:color w:val="000000"/>
          <w:lang w:val="en-GB" w:eastAsia="en-IE"/>
        </w:rPr>
        <w:t>only”</w:t>
      </w:r>
      <w:r w:rsidRPr="00937398">
        <w:rPr>
          <w:rFonts w:ascii="Calibri" w:eastAsia="Times New Roman" w:hAnsi="Calibri" w:cs="Calibri"/>
          <w:color w:val="000000"/>
          <w:lang w:val="en-GB" w:eastAsia="en-IE"/>
        </w:rPr>
        <w:t xml:space="preserve"> 49 million Euro, that the Legislator does not owe the citizens an explanation on the use of taxpayers’ money.</w:t>
      </w:r>
    </w:p>
    <w:p w14:paraId="714C7623" w14:textId="77777777" w:rsidR="006270B5" w:rsidRPr="00937398" w:rsidRDefault="006270B5" w:rsidP="00AF5C6A">
      <w:pPr>
        <w:spacing w:after="0" w:line="276" w:lineRule="auto"/>
        <w:jc w:val="both"/>
        <w:rPr>
          <w:rFonts w:ascii="Calibri" w:eastAsia="Times New Roman" w:hAnsi="Calibri" w:cs="Calibri"/>
          <w:color w:val="000000"/>
          <w:lang w:val="en-GB" w:eastAsia="en-IE"/>
        </w:rPr>
      </w:pPr>
    </w:p>
    <w:p w14:paraId="65A55E63" w14:textId="09E945A4" w:rsidR="00937398" w:rsidRPr="00937398"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b/>
          <w:bCs/>
          <w:color w:val="000000"/>
          <w:lang w:val="en-GB" w:eastAsia="en-IE"/>
        </w:rPr>
        <w:t>2.</w:t>
      </w:r>
      <w:r w:rsidRPr="00937398">
        <w:rPr>
          <w:rFonts w:ascii="Calibri" w:eastAsia="Times New Roman" w:hAnsi="Calibri" w:cs="Calibri"/>
          <w:color w:val="000000"/>
          <w:lang w:val="en-GB" w:eastAsia="en-IE"/>
        </w:rPr>
        <w:t xml:space="preserve"> </w:t>
      </w:r>
      <w:r w:rsidRPr="00937398">
        <w:rPr>
          <w:rFonts w:ascii="Calibri" w:eastAsia="Times New Roman" w:hAnsi="Calibri" w:cs="Calibri"/>
          <w:b/>
          <w:bCs/>
          <w:color w:val="000000"/>
          <w:lang w:val="en-GB" w:eastAsia="en-IE"/>
        </w:rPr>
        <w:t>No justification is brought to the PROPORTIONALITY of this action</w:t>
      </w:r>
    </w:p>
    <w:p w14:paraId="1422E64B" w14:textId="2F5EDDF0" w:rsidR="00937398" w:rsidRPr="00937398"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t xml:space="preserve">If the intended use of the </w:t>
      </w:r>
      <w:r w:rsidR="002138E2">
        <w:rPr>
          <w:rFonts w:ascii="Calibri" w:eastAsia="Times New Roman" w:hAnsi="Calibri" w:cs="Calibri"/>
          <w:color w:val="000000"/>
          <w:lang w:val="en-GB" w:eastAsia="en-IE"/>
        </w:rPr>
        <w:t xml:space="preserve">Digital Green </w:t>
      </w:r>
      <w:r w:rsidRPr="00937398">
        <w:rPr>
          <w:rFonts w:ascii="Calibri" w:eastAsia="Times New Roman" w:hAnsi="Calibri" w:cs="Calibri"/>
          <w:color w:val="000000"/>
          <w:lang w:val="en-GB" w:eastAsia="en-IE"/>
        </w:rPr>
        <w:t>Certificate is for the seemingly limited period left of the Covid-19 pandemic, then its proportionality must be questioned.</w:t>
      </w:r>
    </w:p>
    <w:p w14:paraId="63223525" w14:textId="77777777" w:rsidR="006270B5" w:rsidRDefault="006270B5" w:rsidP="00AF5C6A">
      <w:pPr>
        <w:spacing w:after="0" w:line="276" w:lineRule="auto"/>
        <w:jc w:val="both"/>
        <w:rPr>
          <w:rFonts w:ascii="Calibri" w:eastAsia="Times New Roman" w:hAnsi="Calibri" w:cs="Calibri"/>
          <w:color w:val="000000"/>
          <w:lang w:val="en-GB" w:eastAsia="en-IE"/>
        </w:rPr>
      </w:pPr>
    </w:p>
    <w:p w14:paraId="19E9750F" w14:textId="325DC2E7" w:rsidR="00937398" w:rsidRDefault="00937398" w:rsidP="00AF5C6A">
      <w:pPr>
        <w:spacing w:after="0" w:line="276" w:lineRule="auto"/>
        <w:jc w:val="both"/>
        <w:rPr>
          <w:rFonts w:ascii="Calibri" w:eastAsia="Times New Roman" w:hAnsi="Calibri" w:cs="Calibri"/>
          <w:b/>
          <w:bCs/>
          <w:color w:val="000000"/>
          <w:lang w:val="en-GB" w:eastAsia="en-IE"/>
        </w:rPr>
      </w:pPr>
      <w:r w:rsidRPr="00937398">
        <w:rPr>
          <w:rFonts w:ascii="Calibri" w:eastAsia="Times New Roman" w:hAnsi="Calibri" w:cs="Calibri"/>
          <w:color w:val="000000"/>
          <w:lang w:val="en-GB" w:eastAsia="en-IE"/>
        </w:rPr>
        <w:t>This is not only about the “</w:t>
      </w:r>
      <w:r w:rsidRPr="00937398">
        <w:rPr>
          <w:rFonts w:ascii="Calibri" w:eastAsia="Times New Roman" w:hAnsi="Calibri" w:cs="Calibri"/>
          <w:i/>
          <w:iCs/>
          <w:color w:val="000000"/>
          <w:lang w:val="en-GB" w:eastAsia="en-IE"/>
        </w:rPr>
        <w:t>only</w:t>
      </w:r>
      <w:r w:rsidRPr="00937398">
        <w:rPr>
          <w:rFonts w:ascii="Calibri" w:eastAsia="Times New Roman" w:hAnsi="Calibri" w:cs="Calibri"/>
          <w:color w:val="000000"/>
          <w:lang w:val="en-GB" w:eastAsia="en-IE"/>
        </w:rPr>
        <w:t>” 49 million Euro supposedly needed for its implementation, but of the whole EU and national effort to adopt and implement a measure that is supposedly very short-lived.</w:t>
      </w:r>
    </w:p>
    <w:p w14:paraId="520AF86D" w14:textId="77777777" w:rsidR="006270B5" w:rsidRPr="00937398" w:rsidRDefault="006270B5" w:rsidP="00AF5C6A">
      <w:pPr>
        <w:spacing w:after="0" w:line="276" w:lineRule="auto"/>
        <w:jc w:val="both"/>
        <w:rPr>
          <w:rFonts w:ascii="Calibri" w:eastAsia="Times New Roman" w:hAnsi="Calibri" w:cs="Calibri"/>
          <w:color w:val="000000"/>
          <w:lang w:val="en-GB" w:eastAsia="en-IE"/>
        </w:rPr>
      </w:pPr>
    </w:p>
    <w:p w14:paraId="2C3C8190" w14:textId="0C1FE35E" w:rsidR="00937398" w:rsidRPr="00937398"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b/>
          <w:bCs/>
          <w:color w:val="000000"/>
          <w:lang w:val="en-GB" w:eastAsia="en-IE"/>
        </w:rPr>
        <w:t>3.</w:t>
      </w:r>
      <w:r w:rsidRPr="00937398">
        <w:rPr>
          <w:rFonts w:ascii="Calibri" w:eastAsia="Times New Roman" w:hAnsi="Calibri" w:cs="Calibri"/>
          <w:color w:val="000000"/>
          <w:lang w:val="en-GB" w:eastAsia="en-IE"/>
        </w:rPr>
        <w:t xml:space="preserve"> </w:t>
      </w:r>
      <w:r w:rsidRPr="00937398">
        <w:rPr>
          <w:rFonts w:ascii="Calibri" w:eastAsia="Times New Roman" w:hAnsi="Calibri" w:cs="Calibri"/>
          <w:b/>
          <w:bCs/>
          <w:color w:val="000000"/>
          <w:lang w:val="en-GB" w:eastAsia="en-IE"/>
        </w:rPr>
        <w:t>No respect for the DIVISION OF POWER under the Treaty – delegated powers</w:t>
      </w:r>
    </w:p>
    <w:p w14:paraId="2843453C" w14:textId="08DA718C" w:rsidR="00937398"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t xml:space="preserve">The suspension of the application of the Digital </w:t>
      </w:r>
      <w:r w:rsidR="002138E2">
        <w:rPr>
          <w:rFonts w:ascii="Calibri" w:eastAsia="Times New Roman" w:hAnsi="Calibri" w:cs="Calibri"/>
          <w:color w:val="000000"/>
          <w:lang w:val="en-GB" w:eastAsia="en-IE"/>
        </w:rPr>
        <w:t xml:space="preserve">Green </w:t>
      </w:r>
      <w:r w:rsidRPr="00937398">
        <w:rPr>
          <w:rFonts w:ascii="Calibri" w:eastAsia="Times New Roman" w:hAnsi="Calibri" w:cs="Calibri"/>
          <w:color w:val="000000"/>
          <w:lang w:val="en-GB" w:eastAsia="en-IE"/>
        </w:rPr>
        <w:t>Certificate is to take place via a Delegated Act (Article 190 TFEU). This procedure is strictly limited by the Treaty to</w:t>
      </w:r>
      <w:r w:rsidRPr="00937398">
        <w:rPr>
          <w:rFonts w:ascii="Calibri" w:eastAsia="Times New Roman" w:hAnsi="Calibri" w:cs="Calibri"/>
          <w:b/>
          <w:bCs/>
          <w:color w:val="000000"/>
          <w:lang w:val="en-GB" w:eastAsia="en-IE"/>
        </w:rPr>
        <w:t xml:space="preserve"> deciding on </w:t>
      </w:r>
      <w:r w:rsidRPr="00937398">
        <w:rPr>
          <w:rFonts w:ascii="Calibri" w:eastAsia="Times New Roman" w:hAnsi="Calibri" w:cs="Calibri"/>
          <w:b/>
          <w:bCs/>
          <w:i/>
          <w:iCs/>
          <w:color w:val="000000"/>
          <w:lang w:val="en-GB" w:eastAsia="en-IE"/>
        </w:rPr>
        <w:t>“non-essential</w:t>
      </w:r>
      <w:r w:rsidRPr="00937398">
        <w:rPr>
          <w:rFonts w:ascii="Calibri" w:eastAsia="Times New Roman" w:hAnsi="Calibri" w:cs="Calibri"/>
          <w:b/>
          <w:bCs/>
          <w:color w:val="000000"/>
          <w:lang w:val="en-GB" w:eastAsia="en-IE"/>
        </w:rPr>
        <w:t>” aspects</w:t>
      </w:r>
      <w:r w:rsidRPr="00937398">
        <w:rPr>
          <w:rFonts w:ascii="Calibri" w:eastAsia="Times New Roman" w:hAnsi="Calibri" w:cs="Calibri"/>
          <w:color w:val="000000"/>
          <w:lang w:val="en-GB" w:eastAsia="en-IE"/>
        </w:rPr>
        <w:t xml:space="preserve"> of laws.</w:t>
      </w:r>
    </w:p>
    <w:p w14:paraId="7DB1666F" w14:textId="77777777" w:rsidR="006270B5" w:rsidRPr="00937398" w:rsidRDefault="006270B5" w:rsidP="00AF5C6A">
      <w:pPr>
        <w:spacing w:after="0" w:line="276" w:lineRule="auto"/>
        <w:jc w:val="both"/>
        <w:rPr>
          <w:rFonts w:ascii="Calibri" w:eastAsia="Times New Roman" w:hAnsi="Calibri" w:cs="Calibri"/>
          <w:color w:val="000000"/>
          <w:lang w:val="en-GB" w:eastAsia="en-IE"/>
        </w:rPr>
      </w:pPr>
    </w:p>
    <w:p w14:paraId="6E84AC21" w14:textId="62B0C97C" w:rsidR="00937398" w:rsidRPr="00937398"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t xml:space="preserve">In the </w:t>
      </w:r>
      <w:r w:rsidR="002138E2">
        <w:rPr>
          <w:rFonts w:ascii="Calibri" w:eastAsia="Times New Roman" w:hAnsi="Calibri" w:cs="Calibri"/>
          <w:color w:val="000000"/>
          <w:lang w:val="en-GB" w:eastAsia="en-IE"/>
        </w:rPr>
        <w:t>proposal</w:t>
      </w:r>
      <w:r w:rsidRPr="00937398">
        <w:rPr>
          <w:rFonts w:ascii="Calibri" w:eastAsia="Times New Roman" w:hAnsi="Calibri" w:cs="Calibri"/>
          <w:color w:val="000000"/>
          <w:lang w:val="en-GB" w:eastAsia="en-IE"/>
        </w:rPr>
        <w:t xml:space="preserve">, the decision that the pandemic is over is an </w:t>
      </w:r>
      <w:r w:rsidRPr="00937398">
        <w:rPr>
          <w:rFonts w:ascii="Calibri" w:eastAsia="Times New Roman" w:hAnsi="Calibri" w:cs="Calibri"/>
          <w:b/>
          <w:bCs/>
          <w:color w:val="000000"/>
          <w:lang w:val="en-GB" w:eastAsia="en-IE"/>
        </w:rPr>
        <w:t>ESSENTIAL</w:t>
      </w:r>
      <w:r w:rsidRPr="00937398">
        <w:rPr>
          <w:rFonts w:ascii="Calibri" w:eastAsia="Times New Roman" w:hAnsi="Calibri" w:cs="Calibri"/>
          <w:color w:val="000000"/>
          <w:lang w:val="en-GB" w:eastAsia="en-IE"/>
        </w:rPr>
        <w:t xml:space="preserve"> aspect.</w:t>
      </w:r>
      <w:r w:rsidR="006270B5">
        <w:rPr>
          <w:rFonts w:ascii="Calibri" w:eastAsia="Times New Roman" w:hAnsi="Calibri" w:cs="Calibri"/>
          <w:color w:val="000000"/>
          <w:lang w:val="en-GB" w:eastAsia="en-IE"/>
        </w:rPr>
        <w:t xml:space="preserve"> </w:t>
      </w:r>
      <w:r w:rsidRPr="00937398">
        <w:rPr>
          <w:rFonts w:ascii="Calibri" w:eastAsia="Times New Roman" w:hAnsi="Calibri" w:cs="Calibri"/>
          <w:color w:val="000000"/>
          <w:lang w:val="en-GB" w:eastAsia="en-IE"/>
        </w:rPr>
        <w:t xml:space="preserve">This provision further weakens the democratic accountability of the </w:t>
      </w:r>
      <w:r w:rsidR="002138E2">
        <w:rPr>
          <w:rFonts w:ascii="Calibri" w:eastAsia="Times New Roman" w:hAnsi="Calibri" w:cs="Calibri"/>
          <w:color w:val="000000"/>
          <w:lang w:val="en-GB" w:eastAsia="en-IE"/>
        </w:rPr>
        <w:t>Regulation</w:t>
      </w:r>
      <w:r w:rsidR="002138E2" w:rsidRPr="00937398">
        <w:rPr>
          <w:rFonts w:ascii="Calibri" w:eastAsia="Times New Roman" w:hAnsi="Calibri" w:cs="Calibri"/>
          <w:color w:val="000000"/>
          <w:lang w:val="en-GB" w:eastAsia="en-IE"/>
        </w:rPr>
        <w:t xml:space="preserve"> and</w:t>
      </w:r>
      <w:r w:rsidRPr="00937398">
        <w:rPr>
          <w:rFonts w:ascii="Calibri" w:eastAsia="Times New Roman" w:hAnsi="Calibri" w:cs="Calibri"/>
          <w:color w:val="000000"/>
          <w:lang w:val="en-GB" w:eastAsia="en-IE"/>
        </w:rPr>
        <w:t xml:space="preserve"> makes its consequences arbitrary.</w:t>
      </w:r>
    </w:p>
    <w:p w14:paraId="32CF6673" w14:textId="77777777" w:rsidR="00937398" w:rsidRPr="00937398" w:rsidRDefault="00937398" w:rsidP="00AF5C6A">
      <w:pPr>
        <w:spacing w:after="0" w:line="276" w:lineRule="auto"/>
        <w:jc w:val="both"/>
        <w:rPr>
          <w:rFonts w:ascii="Calibri" w:eastAsia="Times New Roman" w:hAnsi="Calibri" w:cs="Calibri"/>
          <w:color w:val="000000"/>
          <w:lang w:val="en-GB" w:eastAsia="en-IE"/>
        </w:rPr>
      </w:pPr>
    </w:p>
    <w:p w14:paraId="599A0C9D" w14:textId="285615AF" w:rsidR="00937398" w:rsidRPr="00937398"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b/>
          <w:bCs/>
          <w:color w:val="000000"/>
          <w:lang w:val="en-GB" w:eastAsia="en-IE"/>
        </w:rPr>
        <w:t>4.</w:t>
      </w:r>
      <w:r w:rsidRPr="00937398">
        <w:rPr>
          <w:rFonts w:ascii="Calibri" w:eastAsia="Times New Roman" w:hAnsi="Calibri" w:cs="Calibri"/>
          <w:color w:val="000000"/>
          <w:lang w:val="en-GB" w:eastAsia="en-IE"/>
        </w:rPr>
        <w:t xml:space="preserve"> </w:t>
      </w:r>
      <w:r w:rsidRPr="00937398">
        <w:rPr>
          <w:rFonts w:ascii="Calibri" w:eastAsia="Times New Roman" w:hAnsi="Calibri" w:cs="Calibri"/>
          <w:b/>
          <w:bCs/>
          <w:color w:val="000000"/>
          <w:lang w:val="en-GB" w:eastAsia="en-IE"/>
        </w:rPr>
        <w:t xml:space="preserve">The </w:t>
      </w:r>
      <w:r w:rsidR="006270B5">
        <w:rPr>
          <w:rFonts w:ascii="Calibri" w:eastAsia="Times New Roman" w:hAnsi="Calibri" w:cs="Calibri"/>
          <w:b/>
          <w:bCs/>
          <w:color w:val="000000"/>
          <w:lang w:val="en-GB" w:eastAsia="en-IE"/>
        </w:rPr>
        <w:t>Regulation</w:t>
      </w:r>
      <w:r w:rsidRPr="00937398">
        <w:rPr>
          <w:rFonts w:ascii="Calibri" w:eastAsia="Times New Roman" w:hAnsi="Calibri" w:cs="Calibri"/>
          <w:b/>
          <w:bCs/>
          <w:color w:val="000000"/>
          <w:lang w:val="en-GB" w:eastAsia="en-IE"/>
        </w:rPr>
        <w:t xml:space="preserve"> is marred by UNCERTAINTY and impossible to ascertain accountability</w:t>
      </w:r>
    </w:p>
    <w:p w14:paraId="05E2BDC7" w14:textId="74D0429E" w:rsidR="00937398" w:rsidRPr="00937398" w:rsidRDefault="00937398" w:rsidP="00AF5C6A">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t xml:space="preserve">The </w:t>
      </w:r>
      <w:r w:rsidR="006270B5">
        <w:rPr>
          <w:rFonts w:ascii="Calibri" w:eastAsia="Times New Roman" w:hAnsi="Calibri" w:cs="Calibri"/>
          <w:color w:val="000000"/>
          <w:lang w:val="en-GB" w:eastAsia="en-IE"/>
        </w:rPr>
        <w:t>Regulation</w:t>
      </w:r>
      <w:r w:rsidRPr="00937398">
        <w:rPr>
          <w:rFonts w:ascii="Calibri" w:eastAsia="Times New Roman" w:hAnsi="Calibri" w:cs="Calibri"/>
          <w:color w:val="000000"/>
          <w:lang w:val="en-GB" w:eastAsia="en-IE"/>
        </w:rPr>
        <w:t xml:space="preserve"> places important decisions onto doubtful bodies:</w:t>
      </w:r>
    </w:p>
    <w:p w14:paraId="4F84AE7A" w14:textId="77777777" w:rsidR="006270B5" w:rsidRDefault="00937398" w:rsidP="00AF5C6A">
      <w:pPr>
        <w:pStyle w:val="ListParagraph"/>
        <w:numPr>
          <w:ilvl w:val="0"/>
          <w:numId w:val="11"/>
        </w:numPr>
        <w:spacing w:after="0" w:line="276" w:lineRule="auto"/>
        <w:jc w:val="both"/>
        <w:rPr>
          <w:rFonts w:ascii="Calibri" w:eastAsia="Times New Roman" w:hAnsi="Calibri" w:cs="Calibri"/>
          <w:color w:val="000000"/>
          <w:lang w:val="en-GB" w:eastAsia="en-IE"/>
        </w:rPr>
      </w:pPr>
      <w:r w:rsidRPr="006270B5">
        <w:rPr>
          <w:rFonts w:ascii="Calibri" w:eastAsia="Times New Roman" w:hAnsi="Calibri" w:cs="Calibri"/>
          <w:b/>
          <w:bCs/>
          <w:color w:val="000000"/>
          <w:lang w:val="en-GB" w:eastAsia="en-IE"/>
        </w:rPr>
        <w:t>Health Security Committee</w:t>
      </w:r>
      <w:r w:rsidRPr="006270B5">
        <w:rPr>
          <w:rFonts w:ascii="Calibri" w:eastAsia="Times New Roman" w:hAnsi="Calibri" w:cs="Calibri"/>
          <w:color w:val="000000"/>
          <w:lang w:val="en-GB" w:eastAsia="en-IE"/>
        </w:rPr>
        <w:t xml:space="preserve"> (HSC) which is an informal advisory group of the Member States’ Health Ministries and also includes representatives of observer states (Iceland, Liechtenstein, Norway, Serbia and Turkey). Such an informal group cannot be entrusted with responsibilities that directly impact EU citizens. (Article 3(6) and Article 7(1) of the Proposal).</w:t>
      </w:r>
    </w:p>
    <w:p w14:paraId="07B6C6B2" w14:textId="4B4D4B65" w:rsidR="00E765ED" w:rsidRDefault="00937398" w:rsidP="00AF5C6A">
      <w:pPr>
        <w:pStyle w:val="ListParagraph"/>
        <w:numPr>
          <w:ilvl w:val="0"/>
          <w:numId w:val="11"/>
        </w:numPr>
        <w:spacing w:after="0" w:line="276" w:lineRule="auto"/>
        <w:jc w:val="both"/>
        <w:rPr>
          <w:rFonts w:ascii="Calibri" w:eastAsia="Times New Roman" w:hAnsi="Calibri" w:cs="Calibri"/>
          <w:color w:val="000000"/>
          <w:lang w:val="en-GB" w:eastAsia="en-IE"/>
        </w:rPr>
      </w:pPr>
      <w:r w:rsidRPr="006270B5">
        <w:rPr>
          <w:rFonts w:ascii="Calibri" w:eastAsia="Times New Roman" w:hAnsi="Calibri" w:cs="Calibri"/>
          <w:b/>
          <w:bCs/>
          <w:color w:val="000000"/>
          <w:lang w:val="en-GB" w:eastAsia="en-IE"/>
        </w:rPr>
        <w:t>WHO:</w:t>
      </w:r>
      <w:r w:rsidRPr="006270B5">
        <w:rPr>
          <w:rFonts w:ascii="Calibri" w:eastAsia="Times New Roman" w:hAnsi="Calibri" w:cs="Calibri"/>
          <w:color w:val="000000"/>
          <w:lang w:val="en-GB" w:eastAsia="en-IE"/>
        </w:rPr>
        <w:t xml:space="preserve"> Most blatantly, the ultimate trigger of the decision to stop the application of this Regulation is </w:t>
      </w:r>
      <w:r w:rsidR="00AF5C6A">
        <w:rPr>
          <w:rFonts w:ascii="Calibri" w:eastAsia="Times New Roman" w:hAnsi="Calibri" w:cs="Calibri"/>
          <w:color w:val="000000"/>
          <w:lang w:val="en-GB" w:eastAsia="en-IE"/>
        </w:rPr>
        <w:t xml:space="preserve">the </w:t>
      </w:r>
      <w:r w:rsidRPr="006270B5">
        <w:rPr>
          <w:rFonts w:ascii="Calibri" w:eastAsia="Times New Roman" w:hAnsi="Calibri" w:cs="Calibri"/>
          <w:color w:val="000000"/>
          <w:lang w:val="en-GB" w:eastAsia="en-IE"/>
        </w:rPr>
        <w:t>WHO. It must be underlined that WHO</w:t>
      </w:r>
      <w:r w:rsidRPr="006270B5">
        <w:rPr>
          <w:rFonts w:ascii="Calibri" w:eastAsia="Times New Roman" w:hAnsi="Calibri" w:cs="Calibri"/>
          <w:b/>
          <w:bCs/>
          <w:color w:val="000000"/>
          <w:lang w:val="en-GB" w:eastAsia="en-IE"/>
        </w:rPr>
        <w:t xml:space="preserve"> is not part of the EU legal framework, </w:t>
      </w:r>
      <w:r w:rsidRPr="006270B5">
        <w:rPr>
          <w:rFonts w:ascii="Calibri" w:eastAsia="Times New Roman" w:hAnsi="Calibri" w:cs="Calibri"/>
          <w:color w:val="000000"/>
          <w:lang w:val="en-GB" w:eastAsia="en-IE"/>
        </w:rPr>
        <w:t>nor have its Director General’s decisions any direct legal implications on EU and its citizens.</w:t>
      </w:r>
    </w:p>
    <w:p w14:paraId="6B42919E" w14:textId="77777777" w:rsidR="006270B5" w:rsidRPr="006270B5" w:rsidRDefault="006270B5" w:rsidP="00AF5C6A">
      <w:pPr>
        <w:pStyle w:val="ListParagraph"/>
        <w:spacing w:after="0" w:line="276" w:lineRule="auto"/>
        <w:jc w:val="both"/>
        <w:rPr>
          <w:rFonts w:ascii="Calibri" w:eastAsia="Times New Roman" w:hAnsi="Calibri" w:cs="Calibri"/>
          <w:color w:val="000000"/>
          <w:lang w:val="en-GB" w:eastAsia="en-IE"/>
        </w:rPr>
      </w:pPr>
    </w:p>
    <w:p w14:paraId="628D62D1" w14:textId="127F995E" w:rsidR="00937398" w:rsidRPr="00937398" w:rsidRDefault="00E765ED" w:rsidP="00AF5C6A">
      <w:pPr>
        <w:spacing w:after="0" w:line="276" w:lineRule="auto"/>
        <w:jc w:val="both"/>
        <w:rPr>
          <w:rFonts w:ascii="Calibri" w:eastAsia="Times New Roman" w:hAnsi="Calibri" w:cs="Calibri"/>
          <w:color w:val="000000"/>
          <w:lang w:val="en-GB" w:eastAsia="en-IE"/>
        </w:rPr>
      </w:pPr>
      <w:r>
        <w:rPr>
          <w:rFonts w:ascii="Calibri" w:eastAsia="Times New Roman" w:hAnsi="Calibri" w:cs="Calibri"/>
          <w:color w:val="000000"/>
          <w:lang w:val="en-GB" w:eastAsia="en-IE"/>
        </w:rPr>
        <w:t xml:space="preserve">5. </w:t>
      </w:r>
      <w:r w:rsidR="00937398" w:rsidRPr="00937398">
        <w:rPr>
          <w:rFonts w:ascii="Calibri" w:eastAsia="Times New Roman" w:hAnsi="Calibri" w:cs="Calibri"/>
          <w:b/>
          <w:bCs/>
          <w:color w:val="000000"/>
          <w:lang w:val="en-US" w:eastAsia="en-IE"/>
        </w:rPr>
        <w:t xml:space="preserve">Uncertainty </w:t>
      </w:r>
    </w:p>
    <w:p w14:paraId="6514CEE7" w14:textId="0001B04C" w:rsidR="00937398" w:rsidRPr="00937398" w:rsidRDefault="00937398" w:rsidP="00AF5C6A">
      <w:pPr>
        <w:spacing w:after="0" w:line="276" w:lineRule="auto"/>
        <w:jc w:val="both"/>
        <w:rPr>
          <w:rFonts w:ascii="Calibri" w:eastAsia="Times New Roman" w:hAnsi="Calibri" w:cs="Calibri"/>
          <w:color w:val="000000"/>
          <w:lang w:val="en-US" w:eastAsia="en-IE"/>
        </w:rPr>
      </w:pPr>
      <w:r w:rsidRPr="00937398">
        <w:rPr>
          <w:rFonts w:ascii="Calibri" w:eastAsia="Times New Roman" w:hAnsi="Calibri" w:cs="Calibri"/>
          <w:color w:val="000000"/>
          <w:lang w:val="en-US" w:eastAsia="en-IE"/>
        </w:rPr>
        <w:t xml:space="preserve">If the Director-General of the World Health Organization (WHO) declares an international emergency because of any infectious disease with epidemic potential, the European Commission will automatically reimpose the </w:t>
      </w:r>
      <w:r w:rsidR="002138E2">
        <w:rPr>
          <w:rFonts w:ascii="Calibri" w:eastAsia="Times New Roman" w:hAnsi="Calibri" w:cs="Calibri"/>
          <w:color w:val="000000"/>
          <w:lang w:val="en-US" w:eastAsia="en-IE"/>
        </w:rPr>
        <w:t xml:space="preserve">Digital Green </w:t>
      </w:r>
      <w:r w:rsidRPr="00937398">
        <w:rPr>
          <w:rFonts w:ascii="Calibri" w:eastAsia="Times New Roman" w:hAnsi="Calibri" w:cs="Calibri"/>
          <w:color w:val="000000"/>
          <w:lang w:val="en-US" w:eastAsia="en-IE"/>
        </w:rPr>
        <w:t>Certificate, until the WHO dictates otherwise, with the Member States having nothing to say about it. Member States themselves seem to cede decision-making to the Certificate ‘framework’.</w:t>
      </w:r>
    </w:p>
    <w:p w14:paraId="72844E23" w14:textId="77777777" w:rsidR="006270B5" w:rsidRDefault="006270B5" w:rsidP="00AF5C6A">
      <w:pPr>
        <w:spacing w:after="0" w:line="276" w:lineRule="auto"/>
        <w:jc w:val="both"/>
        <w:rPr>
          <w:rFonts w:ascii="Calibri" w:eastAsia="Times New Roman" w:hAnsi="Calibri" w:cs="Calibri"/>
          <w:color w:val="000000"/>
          <w:lang w:val="en-US" w:eastAsia="en-IE"/>
        </w:rPr>
      </w:pPr>
    </w:p>
    <w:p w14:paraId="6A527218" w14:textId="73D94DA3" w:rsidR="00937398" w:rsidRPr="00937398" w:rsidRDefault="00937398" w:rsidP="00AF5C6A">
      <w:pPr>
        <w:spacing w:after="0" w:line="276" w:lineRule="auto"/>
        <w:jc w:val="both"/>
        <w:rPr>
          <w:rFonts w:ascii="Calibri" w:eastAsia="Times New Roman" w:hAnsi="Calibri" w:cs="Calibri"/>
          <w:color w:val="000000"/>
          <w:lang w:val="en-US" w:eastAsia="en-IE"/>
        </w:rPr>
      </w:pPr>
      <w:r w:rsidRPr="00937398">
        <w:rPr>
          <w:rFonts w:ascii="Calibri" w:eastAsia="Times New Roman" w:hAnsi="Calibri" w:cs="Calibri"/>
          <w:color w:val="000000"/>
          <w:lang w:val="en-US" w:eastAsia="en-IE"/>
        </w:rPr>
        <w:t>The WHO can declare such an emergency even if there are no deaths. Therefore, the WHO may condemn us to a perpetual global health alert.</w:t>
      </w:r>
    </w:p>
    <w:p w14:paraId="6F1FD141" w14:textId="77777777" w:rsidR="006270B5" w:rsidRDefault="006270B5" w:rsidP="00AF5C6A">
      <w:pPr>
        <w:spacing w:after="0" w:line="276" w:lineRule="auto"/>
        <w:jc w:val="both"/>
        <w:rPr>
          <w:rFonts w:ascii="Calibri" w:eastAsia="Times New Roman" w:hAnsi="Calibri" w:cs="Calibri"/>
          <w:color w:val="000000"/>
          <w:lang w:val="en-US" w:eastAsia="en-IE"/>
        </w:rPr>
      </w:pPr>
    </w:p>
    <w:p w14:paraId="6ECEA428" w14:textId="61778C70" w:rsidR="00E765ED" w:rsidRDefault="00937398" w:rsidP="00AF5C6A">
      <w:pPr>
        <w:spacing w:after="0" w:line="276" w:lineRule="auto"/>
        <w:jc w:val="both"/>
        <w:rPr>
          <w:rFonts w:ascii="Calibri" w:eastAsia="Times New Roman" w:hAnsi="Calibri" w:cs="Calibri"/>
          <w:color w:val="000000"/>
          <w:lang w:val="en-US" w:eastAsia="en-IE"/>
        </w:rPr>
      </w:pPr>
      <w:r w:rsidRPr="00937398">
        <w:rPr>
          <w:rFonts w:ascii="Calibri" w:eastAsia="Times New Roman" w:hAnsi="Calibri" w:cs="Calibri"/>
          <w:color w:val="000000"/>
          <w:lang w:val="en-US" w:eastAsia="en-IE"/>
        </w:rPr>
        <w:t xml:space="preserve">The Parliamentary Assembly of the Council of Europe, draws attention to this anomaly in its report, </w:t>
      </w:r>
      <w:r w:rsidR="00AF5C6A">
        <w:rPr>
          <w:rFonts w:ascii="Calibri" w:eastAsia="Times New Roman" w:hAnsi="Calibri" w:cs="Calibri"/>
          <w:color w:val="000000"/>
          <w:lang w:val="en-US" w:eastAsia="en-IE"/>
        </w:rPr>
        <w:t>“</w:t>
      </w:r>
      <w:r w:rsidRPr="00937398">
        <w:rPr>
          <w:rFonts w:ascii="Calibri" w:eastAsia="Times New Roman" w:hAnsi="Calibri" w:cs="Calibri"/>
          <w:i/>
          <w:iCs/>
          <w:color w:val="000000"/>
          <w:lang w:val="en-US" w:eastAsia="en-IE"/>
        </w:rPr>
        <w:t>The handling of the H1N1 pandemic: more transparency needed</w:t>
      </w:r>
      <w:r w:rsidR="00AF5C6A">
        <w:rPr>
          <w:rFonts w:ascii="Calibri" w:eastAsia="Times New Roman" w:hAnsi="Calibri" w:cs="Calibri"/>
          <w:i/>
          <w:iCs/>
          <w:color w:val="000000"/>
          <w:lang w:val="en-US" w:eastAsia="en-IE"/>
        </w:rPr>
        <w:t>”</w:t>
      </w:r>
      <w:r w:rsidRPr="00937398">
        <w:rPr>
          <w:rFonts w:ascii="Calibri" w:eastAsia="Times New Roman" w:hAnsi="Calibri" w:cs="Calibri"/>
          <w:i/>
          <w:iCs/>
          <w:color w:val="000000"/>
          <w:lang w:val="en-US" w:eastAsia="en-IE"/>
        </w:rPr>
        <w:t>,</w:t>
      </w:r>
      <w:r w:rsidRPr="00937398">
        <w:rPr>
          <w:rFonts w:ascii="Calibri" w:eastAsia="Times New Roman" w:hAnsi="Calibri" w:cs="Calibri"/>
          <w:b/>
          <w:bCs/>
          <w:color w:val="000000"/>
          <w:lang w:val="en-US" w:eastAsia="en-IE"/>
        </w:rPr>
        <w:t xml:space="preserve"> </w:t>
      </w:r>
      <w:r w:rsidRPr="00937398">
        <w:rPr>
          <w:rFonts w:ascii="Calibri" w:eastAsia="Times New Roman" w:hAnsi="Calibri" w:cs="Calibri"/>
          <w:color w:val="000000"/>
          <w:lang w:val="en-US" w:eastAsia="en-IE"/>
        </w:rPr>
        <w:t xml:space="preserve">7 June 2010. </w:t>
      </w:r>
      <w:hyperlink r:id="rId17" w:history="1">
        <w:r w:rsidRPr="00937398">
          <w:rPr>
            <w:rStyle w:val="Hyperlink"/>
            <w:rFonts w:ascii="Calibri" w:eastAsia="Times New Roman" w:hAnsi="Calibri" w:cs="Calibri"/>
            <w:i/>
            <w:iCs/>
            <w:lang w:val="en-US" w:eastAsia="en-IE"/>
          </w:rPr>
          <w:t>https://pace.coe.int/en/files/12463/html</w:t>
        </w:r>
      </w:hyperlink>
    </w:p>
    <w:p w14:paraId="2DB72C63" w14:textId="77777777" w:rsidR="00E765ED" w:rsidRDefault="00E765ED" w:rsidP="00AF5C6A">
      <w:pPr>
        <w:spacing w:after="0" w:line="276" w:lineRule="auto"/>
        <w:jc w:val="both"/>
        <w:rPr>
          <w:rFonts w:ascii="Calibri" w:eastAsia="Times New Roman" w:hAnsi="Calibri" w:cs="Calibri"/>
          <w:color w:val="000000"/>
          <w:lang w:val="en-US" w:eastAsia="en-IE"/>
        </w:rPr>
      </w:pPr>
    </w:p>
    <w:p w14:paraId="4D00712A" w14:textId="2E6E9B6A" w:rsidR="00937398" w:rsidRPr="00937398" w:rsidRDefault="00E765ED" w:rsidP="00AF5C6A">
      <w:pPr>
        <w:spacing w:after="0" w:line="276" w:lineRule="auto"/>
        <w:jc w:val="both"/>
        <w:rPr>
          <w:rFonts w:ascii="Calibri" w:eastAsia="Times New Roman" w:hAnsi="Calibri" w:cs="Calibri"/>
          <w:color w:val="000000"/>
          <w:lang w:val="en-US" w:eastAsia="en-IE"/>
        </w:rPr>
      </w:pPr>
      <w:r>
        <w:rPr>
          <w:rFonts w:ascii="Calibri" w:eastAsia="Times New Roman" w:hAnsi="Calibri" w:cs="Calibri"/>
          <w:color w:val="000000"/>
          <w:lang w:val="en-US" w:eastAsia="en-IE"/>
        </w:rPr>
        <w:t xml:space="preserve">6. </w:t>
      </w:r>
      <w:r w:rsidR="00937398" w:rsidRPr="00937398">
        <w:rPr>
          <w:rFonts w:ascii="Calibri" w:eastAsia="Times New Roman" w:hAnsi="Calibri" w:cs="Calibri"/>
          <w:b/>
          <w:bCs/>
          <w:color w:val="000000"/>
          <w:lang w:val="en-US" w:eastAsia="en-IE"/>
        </w:rPr>
        <w:t>No Effective Protection against arbitrary law</w:t>
      </w:r>
    </w:p>
    <w:p w14:paraId="250242E2" w14:textId="66396442" w:rsidR="00937398" w:rsidRDefault="00937398" w:rsidP="00AF5C6A">
      <w:pPr>
        <w:spacing w:after="0" w:line="276" w:lineRule="auto"/>
        <w:jc w:val="both"/>
        <w:rPr>
          <w:rFonts w:ascii="Calibri" w:eastAsia="Times New Roman" w:hAnsi="Calibri" w:cs="Calibri"/>
          <w:color w:val="000000"/>
          <w:lang w:val="en-US" w:eastAsia="en-IE"/>
        </w:rPr>
      </w:pPr>
      <w:r w:rsidRPr="00937398">
        <w:rPr>
          <w:rFonts w:ascii="Calibri" w:eastAsia="Times New Roman" w:hAnsi="Calibri" w:cs="Calibri"/>
          <w:color w:val="000000"/>
          <w:lang w:val="en-US" w:eastAsia="en-IE"/>
        </w:rPr>
        <w:t xml:space="preserve">The delegation of a permanent power conferred on the European Commission and indirectly on the WHO endangers the principles of </w:t>
      </w:r>
      <w:r w:rsidR="002138E2">
        <w:rPr>
          <w:rFonts w:ascii="Calibri" w:eastAsia="Times New Roman" w:hAnsi="Calibri" w:cs="Calibri"/>
          <w:color w:val="000000"/>
          <w:lang w:val="en-US" w:eastAsia="en-IE"/>
        </w:rPr>
        <w:t>l</w:t>
      </w:r>
      <w:r w:rsidRPr="00937398">
        <w:rPr>
          <w:rFonts w:ascii="Calibri" w:eastAsia="Times New Roman" w:hAnsi="Calibri" w:cs="Calibri"/>
          <w:color w:val="000000"/>
          <w:lang w:val="en-US" w:eastAsia="en-IE"/>
        </w:rPr>
        <w:t xml:space="preserve">egal certainty and of </w:t>
      </w:r>
      <w:r w:rsidR="002138E2">
        <w:rPr>
          <w:rFonts w:ascii="Calibri" w:eastAsia="Times New Roman" w:hAnsi="Calibri" w:cs="Calibri"/>
          <w:color w:val="000000"/>
          <w:lang w:val="en-US" w:eastAsia="en-IE"/>
        </w:rPr>
        <w:t>e</w:t>
      </w:r>
      <w:r w:rsidRPr="00937398">
        <w:rPr>
          <w:rFonts w:ascii="Calibri" w:eastAsia="Times New Roman" w:hAnsi="Calibri" w:cs="Calibri"/>
          <w:color w:val="000000"/>
          <w:lang w:val="en-US" w:eastAsia="en-IE"/>
        </w:rPr>
        <w:t xml:space="preserve">ffective judicial protection across Europe. It </w:t>
      </w:r>
      <w:r w:rsidRPr="00937398">
        <w:rPr>
          <w:rFonts w:ascii="Calibri" w:eastAsia="Times New Roman" w:hAnsi="Calibri" w:cs="Calibri"/>
          <w:color w:val="000000"/>
          <w:lang w:val="en-US" w:eastAsia="en-IE"/>
        </w:rPr>
        <w:lastRenderedPageBreak/>
        <w:t xml:space="preserve">will be impossible for a Member State by itself to contest the declaration of </w:t>
      </w:r>
      <w:r w:rsidR="00AF5C6A">
        <w:rPr>
          <w:rFonts w:ascii="Calibri" w:eastAsia="Times New Roman" w:hAnsi="Calibri" w:cs="Calibri"/>
          <w:color w:val="000000"/>
          <w:lang w:val="en-US" w:eastAsia="en-IE"/>
        </w:rPr>
        <w:t xml:space="preserve">the </w:t>
      </w:r>
      <w:r w:rsidRPr="00937398">
        <w:rPr>
          <w:rFonts w:ascii="Calibri" w:eastAsia="Times New Roman" w:hAnsi="Calibri" w:cs="Calibri"/>
          <w:color w:val="000000"/>
          <w:lang w:val="en-US" w:eastAsia="en-IE"/>
        </w:rPr>
        <w:t xml:space="preserve">WHO’s </w:t>
      </w:r>
      <w:r w:rsidR="002138E2">
        <w:rPr>
          <w:rFonts w:ascii="Calibri" w:eastAsia="Times New Roman" w:hAnsi="Calibri" w:cs="Calibri"/>
          <w:color w:val="000000"/>
          <w:lang w:val="en-US" w:eastAsia="en-IE"/>
        </w:rPr>
        <w:t>“</w:t>
      </w:r>
      <w:r w:rsidRPr="00937398">
        <w:rPr>
          <w:rFonts w:ascii="Calibri" w:eastAsia="Times New Roman" w:hAnsi="Calibri" w:cs="Calibri"/>
          <w:i/>
          <w:iCs/>
          <w:color w:val="000000"/>
          <w:lang w:val="en-US" w:eastAsia="en-IE"/>
        </w:rPr>
        <w:t>health emergency</w:t>
      </w:r>
      <w:r w:rsidR="002138E2" w:rsidRPr="002138E2">
        <w:rPr>
          <w:rFonts w:ascii="Calibri" w:eastAsia="Times New Roman" w:hAnsi="Calibri" w:cs="Calibri"/>
          <w:i/>
          <w:iCs/>
          <w:color w:val="000000"/>
          <w:lang w:val="en-US" w:eastAsia="en-IE"/>
        </w:rPr>
        <w:t>”</w:t>
      </w:r>
      <w:r w:rsidRPr="00937398">
        <w:rPr>
          <w:rFonts w:ascii="Calibri" w:eastAsia="Times New Roman" w:hAnsi="Calibri" w:cs="Calibri"/>
          <w:color w:val="000000"/>
          <w:lang w:val="en-US" w:eastAsia="en-IE"/>
        </w:rPr>
        <w:t xml:space="preserve"> and therefore the implementation of the Digital Green Certificate. </w:t>
      </w:r>
    </w:p>
    <w:p w14:paraId="7AF0A395" w14:textId="77777777" w:rsidR="00AF5C6A" w:rsidRPr="00937398" w:rsidRDefault="00AF5C6A" w:rsidP="00AF5C6A">
      <w:pPr>
        <w:spacing w:after="0" w:line="276" w:lineRule="auto"/>
        <w:jc w:val="both"/>
        <w:rPr>
          <w:rFonts w:ascii="Calibri" w:eastAsia="Times New Roman" w:hAnsi="Calibri" w:cs="Calibri"/>
          <w:color w:val="000000"/>
          <w:lang w:val="en-US" w:eastAsia="en-IE"/>
        </w:rPr>
      </w:pPr>
    </w:p>
    <w:p w14:paraId="62CC9DC8" w14:textId="00C6DD04" w:rsidR="00937398" w:rsidRPr="00937398" w:rsidRDefault="00937398" w:rsidP="00AF5C6A">
      <w:pPr>
        <w:spacing w:after="0" w:line="276" w:lineRule="auto"/>
        <w:jc w:val="both"/>
        <w:rPr>
          <w:rFonts w:ascii="Calibri" w:eastAsia="Times New Roman" w:hAnsi="Calibri" w:cs="Calibri"/>
          <w:color w:val="000000"/>
          <w:lang w:val="en-US" w:eastAsia="en-IE"/>
        </w:rPr>
      </w:pPr>
      <w:r w:rsidRPr="00937398">
        <w:rPr>
          <w:rFonts w:ascii="Calibri" w:eastAsia="Times New Roman" w:hAnsi="Calibri" w:cs="Calibri"/>
          <w:color w:val="000000"/>
          <w:lang w:val="en-US" w:eastAsia="en-IE"/>
        </w:rPr>
        <w:t>Similarly, the probability that a citizen of a</w:t>
      </w:r>
      <w:r w:rsidR="002138E2">
        <w:rPr>
          <w:rFonts w:ascii="Calibri" w:eastAsia="Times New Roman" w:hAnsi="Calibri" w:cs="Calibri"/>
          <w:color w:val="000000"/>
          <w:lang w:val="en-US" w:eastAsia="en-IE"/>
        </w:rPr>
        <w:t>n</w:t>
      </w:r>
      <w:r w:rsidRPr="00937398">
        <w:rPr>
          <w:rFonts w:ascii="Calibri" w:eastAsia="Times New Roman" w:hAnsi="Calibri" w:cs="Calibri"/>
          <w:color w:val="000000"/>
          <w:lang w:val="en-US" w:eastAsia="en-IE"/>
        </w:rPr>
        <w:t xml:space="preserve"> EU Member State </w:t>
      </w:r>
      <w:r w:rsidR="002138E2">
        <w:rPr>
          <w:rFonts w:ascii="Calibri" w:eastAsia="Times New Roman" w:hAnsi="Calibri" w:cs="Calibri"/>
          <w:color w:val="000000"/>
          <w:lang w:val="en-US" w:eastAsia="en-IE"/>
        </w:rPr>
        <w:t>being</w:t>
      </w:r>
      <w:r w:rsidRPr="00937398">
        <w:rPr>
          <w:rFonts w:ascii="Calibri" w:eastAsia="Times New Roman" w:hAnsi="Calibri" w:cs="Calibri"/>
          <w:color w:val="000000"/>
          <w:lang w:val="en-US" w:eastAsia="en-IE"/>
        </w:rPr>
        <w:t xml:space="preserve"> able to demonstrate in court that an infectious disease with </w:t>
      </w:r>
      <w:r w:rsidR="00AF5C6A">
        <w:rPr>
          <w:rFonts w:ascii="Calibri" w:eastAsia="Times New Roman" w:hAnsi="Calibri" w:cs="Calibri"/>
          <w:color w:val="000000"/>
          <w:lang w:val="en-US" w:eastAsia="en-IE"/>
        </w:rPr>
        <w:t>“</w:t>
      </w:r>
      <w:r w:rsidRPr="00937398">
        <w:rPr>
          <w:rFonts w:ascii="Calibri" w:eastAsia="Times New Roman" w:hAnsi="Calibri" w:cs="Calibri"/>
          <w:i/>
          <w:iCs/>
          <w:color w:val="000000"/>
          <w:lang w:val="en-US" w:eastAsia="en-IE"/>
        </w:rPr>
        <w:t>epidemic potential</w:t>
      </w:r>
      <w:r w:rsidR="00AF5C6A">
        <w:rPr>
          <w:rFonts w:ascii="Calibri" w:eastAsia="Times New Roman" w:hAnsi="Calibri" w:cs="Calibri"/>
          <w:color w:val="000000"/>
          <w:lang w:val="en-US" w:eastAsia="en-IE"/>
        </w:rPr>
        <w:t>”</w:t>
      </w:r>
      <w:r w:rsidRPr="00937398">
        <w:rPr>
          <w:rFonts w:ascii="Calibri" w:eastAsia="Times New Roman" w:hAnsi="Calibri" w:cs="Calibri"/>
          <w:color w:val="000000"/>
          <w:lang w:val="en-US" w:eastAsia="en-IE"/>
        </w:rPr>
        <w:t xml:space="preserve"> which may have appeared on the other side of the world, is not sufficiently serious and that the implementation of the Digital Green Certificate is therefore useless and disproportionate in his regard, is practically nil a priori.</w:t>
      </w:r>
    </w:p>
    <w:p w14:paraId="7C831FBD" w14:textId="77777777" w:rsidR="006270B5" w:rsidRDefault="006270B5" w:rsidP="00AF5C6A">
      <w:pPr>
        <w:spacing w:after="0" w:line="276" w:lineRule="auto"/>
        <w:jc w:val="both"/>
        <w:rPr>
          <w:rFonts w:ascii="Calibri" w:eastAsia="Times New Roman" w:hAnsi="Calibri" w:cs="Calibri"/>
          <w:color w:val="000000"/>
          <w:lang w:val="en-US" w:eastAsia="en-IE"/>
        </w:rPr>
      </w:pPr>
    </w:p>
    <w:p w14:paraId="5ECDFF02" w14:textId="3F0C7FB7" w:rsidR="00937398" w:rsidRPr="00937398" w:rsidRDefault="006270B5" w:rsidP="00AF5C6A">
      <w:pPr>
        <w:spacing w:after="0" w:line="276" w:lineRule="auto"/>
        <w:jc w:val="both"/>
        <w:rPr>
          <w:rFonts w:ascii="Calibri" w:eastAsia="Times New Roman" w:hAnsi="Calibri" w:cs="Calibri"/>
          <w:color w:val="000000"/>
          <w:lang w:val="en-US" w:eastAsia="en-IE"/>
        </w:rPr>
      </w:pPr>
      <w:r>
        <w:rPr>
          <w:rFonts w:ascii="Calibri" w:eastAsia="Times New Roman" w:hAnsi="Calibri" w:cs="Calibri"/>
          <w:color w:val="000000"/>
          <w:lang w:val="en-US" w:eastAsia="en-IE"/>
        </w:rPr>
        <w:t>T</w:t>
      </w:r>
      <w:r w:rsidR="00937398" w:rsidRPr="00937398">
        <w:rPr>
          <w:rFonts w:ascii="Calibri" w:eastAsia="Times New Roman" w:hAnsi="Calibri" w:cs="Calibri"/>
          <w:color w:val="000000"/>
          <w:lang w:val="en-US" w:eastAsia="en-IE"/>
        </w:rPr>
        <w:t>he European Commission has reaffirmed (September 9th, 2020)</w:t>
      </w:r>
      <w:r>
        <w:rPr>
          <w:rFonts w:ascii="Calibri" w:eastAsia="Times New Roman" w:hAnsi="Calibri" w:cs="Calibri"/>
          <w:color w:val="000000"/>
          <w:lang w:val="en-US" w:eastAsia="en-IE"/>
        </w:rPr>
        <w:t xml:space="preserve"> the following</w:t>
      </w:r>
      <w:r w:rsidR="00937398" w:rsidRPr="00937398">
        <w:rPr>
          <w:rFonts w:ascii="Calibri" w:eastAsia="Times New Roman" w:hAnsi="Calibri" w:cs="Calibri"/>
          <w:color w:val="000000"/>
          <w:lang w:val="en-US" w:eastAsia="en-IE"/>
        </w:rPr>
        <w:t>:</w:t>
      </w:r>
    </w:p>
    <w:p w14:paraId="1FBCEB83" w14:textId="6EFF790F" w:rsidR="00937398" w:rsidRPr="00937398" w:rsidRDefault="006270B5" w:rsidP="00AF5C6A">
      <w:pPr>
        <w:spacing w:after="0" w:line="276" w:lineRule="auto"/>
        <w:jc w:val="both"/>
        <w:rPr>
          <w:rFonts w:ascii="Calibri" w:eastAsia="Times New Roman" w:hAnsi="Calibri" w:cs="Calibri"/>
          <w:color w:val="000000"/>
          <w:lang w:val="en-US" w:eastAsia="en-IE"/>
        </w:rPr>
      </w:pPr>
      <w:r w:rsidRPr="00AF5C6A">
        <w:rPr>
          <w:rFonts w:ascii="Calibri" w:eastAsia="Times New Roman" w:hAnsi="Calibri" w:cs="Calibri"/>
          <w:color w:val="000000"/>
          <w:lang w:val="en-US" w:eastAsia="en-IE"/>
        </w:rPr>
        <w:t>“</w:t>
      </w:r>
      <w:r w:rsidR="00937398" w:rsidRPr="00937398">
        <w:rPr>
          <w:rFonts w:ascii="Calibri" w:eastAsia="Times New Roman" w:hAnsi="Calibri" w:cs="Calibri"/>
          <w:i/>
          <w:iCs/>
          <w:color w:val="000000"/>
          <w:lang w:val="en-US" w:eastAsia="en-IE"/>
        </w:rPr>
        <w:t>The rule of law includes (…) legal certainty; prohibiting the arbitrary exercise of executive power; effective judicial protection by independent and impartial courts, effective judicial review including respect for fundamental rights (…). These principles have been recognized by the European Court of Justice and the European Court of Human Rights. (…)</w:t>
      </w:r>
    </w:p>
    <w:p w14:paraId="2DA3B6C4" w14:textId="77777777" w:rsidR="00937398" w:rsidRPr="00937398" w:rsidRDefault="00937398" w:rsidP="00AF5C6A">
      <w:pPr>
        <w:spacing w:after="0" w:line="276" w:lineRule="auto"/>
        <w:jc w:val="both"/>
        <w:rPr>
          <w:rFonts w:ascii="Calibri" w:eastAsia="Times New Roman" w:hAnsi="Calibri" w:cs="Calibri"/>
          <w:color w:val="000000"/>
          <w:lang w:val="en-US" w:eastAsia="en-IE"/>
        </w:rPr>
      </w:pPr>
      <w:r w:rsidRPr="00937398">
        <w:rPr>
          <w:rFonts w:ascii="Calibri" w:eastAsia="Times New Roman" w:hAnsi="Calibri" w:cs="Calibri"/>
          <w:i/>
          <w:iCs/>
          <w:color w:val="000000"/>
          <w:lang w:val="en-US" w:eastAsia="en-IE"/>
        </w:rPr>
        <w:t>The rule of law has a direct impact on the life of every citizen.</w:t>
      </w:r>
    </w:p>
    <w:p w14:paraId="7CA73D30" w14:textId="46C4BCBE" w:rsidR="00937398" w:rsidRPr="00937398" w:rsidRDefault="00937398" w:rsidP="00AF5C6A">
      <w:pPr>
        <w:spacing w:after="0" w:line="276" w:lineRule="auto"/>
        <w:jc w:val="both"/>
        <w:rPr>
          <w:rFonts w:ascii="Calibri" w:eastAsia="Times New Roman" w:hAnsi="Calibri" w:cs="Calibri"/>
          <w:color w:val="000000"/>
          <w:lang w:val="en-US" w:eastAsia="en-IE"/>
        </w:rPr>
      </w:pPr>
      <w:r w:rsidRPr="00937398">
        <w:rPr>
          <w:rFonts w:ascii="Calibri" w:eastAsia="Times New Roman" w:hAnsi="Calibri" w:cs="Calibri"/>
          <w:i/>
          <w:iCs/>
          <w:color w:val="000000"/>
          <w:lang w:val="en-US" w:eastAsia="en-IE"/>
        </w:rPr>
        <w:t>Effective national checks and balances upholding respect for the rule of law are key to ensuring that any such restrictions on our rights are limited to what is necessary and proportionate, limited in time and subject to oversight by national parliaments and courts.</w:t>
      </w:r>
      <w:r w:rsidRPr="00937398">
        <w:rPr>
          <w:rFonts w:ascii="Calibri" w:eastAsia="Times New Roman" w:hAnsi="Calibri" w:cs="Calibri"/>
          <w:color w:val="000000"/>
          <w:lang w:val="en-US" w:eastAsia="en-IE"/>
        </w:rPr>
        <w:t xml:space="preserve"> </w:t>
      </w:r>
      <w:r w:rsidR="006270B5" w:rsidRPr="00AF5C6A">
        <w:rPr>
          <w:rFonts w:ascii="Calibri" w:eastAsia="Times New Roman" w:hAnsi="Calibri" w:cs="Calibri"/>
          <w:color w:val="000000"/>
          <w:lang w:val="en-US" w:eastAsia="en-IE"/>
        </w:rPr>
        <w:t>“</w:t>
      </w:r>
    </w:p>
    <w:p w14:paraId="36E35F49" w14:textId="77777777" w:rsidR="00937398" w:rsidRPr="00937398" w:rsidRDefault="00B35712" w:rsidP="00AF5C6A">
      <w:pPr>
        <w:spacing w:after="0" w:line="276" w:lineRule="auto"/>
        <w:jc w:val="both"/>
        <w:rPr>
          <w:rFonts w:ascii="Calibri" w:eastAsia="Times New Roman" w:hAnsi="Calibri" w:cs="Calibri"/>
          <w:color w:val="000000"/>
          <w:lang w:val="en-US" w:eastAsia="en-IE"/>
        </w:rPr>
      </w:pPr>
      <w:hyperlink r:id="rId18" w:history="1">
        <w:r w:rsidR="00937398" w:rsidRPr="00937398">
          <w:rPr>
            <w:rStyle w:val="Hyperlink"/>
            <w:rFonts w:ascii="Calibri" w:eastAsia="Times New Roman" w:hAnsi="Calibri" w:cs="Calibri"/>
            <w:i/>
            <w:iCs/>
            <w:lang w:val="en-US" w:eastAsia="en-IE"/>
          </w:rPr>
          <w:t>https://eur-lex.europa.eu/legal-content/EN/TXT/?qid=1602583951529&amp;uri=CELEX%3A52020DC0580</w:t>
        </w:r>
      </w:hyperlink>
    </w:p>
    <w:p w14:paraId="316C15C2" w14:textId="77777777" w:rsidR="006270B5" w:rsidRDefault="006270B5" w:rsidP="00AF5C6A">
      <w:pPr>
        <w:spacing w:after="0" w:line="276" w:lineRule="auto"/>
        <w:jc w:val="both"/>
        <w:rPr>
          <w:rFonts w:ascii="Calibri" w:eastAsia="Times New Roman" w:hAnsi="Calibri" w:cs="Calibri"/>
          <w:color w:val="000000"/>
          <w:lang w:val="en-US" w:eastAsia="en-IE"/>
        </w:rPr>
      </w:pPr>
    </w:p>
    <w:p w14:paraId="651807AB" w14:textId="2B099DC6" w:rsidR="00163F5C" w:rsidRPr="006270B5" w:rsidRDefault="006270B5" w:rsidP="00AF5C6A">
      <w:pPr>
        <w:spacing w:after="0" w:line="276" w:lineRule="auto"/>
        <w:jc w:val="center"/>
        <w:rPr>
          <w:rFonts w:ascii="Times New Roman" w:eastAsia="Times New Roman" w:hAnsi="Times New Roman" w:cs="Times New Roman"/>
          <w:b/>
          <w:bCs/>
          <w:sz w:val="24"/>
          <w:szCs w:val="24"/>
          <w:u w:val="single"/>
          <w:lang w:eastAsia="en-IE"/>
        </w:rPr>
      </w:pPr>
      <w:r w:rsidRPr="006270B5">
        <w:rPr>
          <w:rFonts w:ascii="Calibri" w:eastAsia="Times New Roman" w:hAnsi="Calibri" w:cs="Calibri"/>
          <w:b/>
          <w:bCs/>
          <w:color w:val="000000"/>
          <w:u w:val="single"/>
          <w:lang w:val="en-GB" w:eastAsia="en-IE"/>
        </w:rPr>
        <w:t>Conclusion</w:t>
      </w:r>
    </w:p>
    <w:p w14:paraId="497F3B39" w14:textId="2FEE7A1D" w:rsidR="006270B5" w:rsidRDefault="007431CF" w:rsidP="00AF5C6A">
      <w:pPr>
        <w:spacing w:before="240" w:after="0" w:line="276" w:lineRule="auto"/>
        <w:jc w:val="both"/>
        <w:rPr>
          <w:rFonts w:ascii="Calibri" w:eastAsia="Times New Roman" w:hAnsi="Calibri" w:cs="Calibri"/>
          <w:color w:val="000000"/>
          <w:lang w:eastAsia="en-IE"/>
        </w:rPr>
      </w:pPr>
      <w:r w:rsidRPr="007431CF">
        <w:rPr>
          <w:rFonts w:ascii="Calibri" w:eastAsia="Times New Roman" w:hAnsi="Calibri" w:cs="Calibri"/>
          <w:color w:val="000000"/>
          <w:lang w:eastAsia="en-IE"/>
        </w:rPr>
        <w:t>I</w:t>
      </w:r>
      <w:r w:rsidR="006270B5">
        <w:rPr>
          <w:rFonts w:ascii="Calibri" w:eastAsia="Times New Roman" w:hAnsi="Calibri" w:cs="Calibri"/>
          <w:color w:val="000000"/>
          <w:lang w:eastAsia="en-IE"/>
        </w:rPr>
        <w:t xml:space="preserve">n light of the unprecedented interference with fundamental freedoms </w:t>
      </w:r>
      <w:r w:rsidR="00C26924">
        <w:rPr>
          <w:rFonts w:ascii="Calibri" w:eastAsia="Times New Roman" w:hAnsi="Calibri" w:cs="Calibri"/>
          <w:color w:val="000000"/>
          <w:lang w:eastAsia="en-IE"/>
        </w:rPr>
        <w:t>which the Regulation will endorse including:</w:t>
      </w:r>
    </w:p>
    <w:p w14:paraId="107C8E28" w14:textId="77777777" w:rsidR="00C26924" w:rsidRDefault="00C26924" w:rsidP="00C26924">
      <w:pPr>
        <w:pStyle w:val="ListParagraph"/>
        <w:numPr>
          <w:ilvl w:val="0"/>
          <w:numId w:val="14"/>
        </w:numPr>
        <w:spacing w:before="240" w:after="0" w:line="276" w:lineRule="auto"/>
        <w:jc w:val="both"/>
        <w:rPr>
          <w:rFonts w:ascii="Calibri" w:eastAsia="Times New Roman" w:hAnsi="Calibri" w:cs="Calibri"/>
          <w:color w:val="000000"/>
          <w:lang w:eastAsia="en-IE"/>
        </w:rPr>
      </w:pPr>
      <w:r w:rsidRPr="00C26924">
        <w:rPr>
          <w:rFonts w:ascii="Calibri" w:eastAsia="Times New Roman" w:hAnsi="Calibri" w:cs="Calibri"/>
          <w:color w:val="000000"/>
          <w:lang w:eastAsia="en-IE"/>
        </w:rPr>
        <w:t>The abolition of my inalienable </w:t>
      </w:r>
      <w:r w:rsidRPr="00C26924">
        <w:rPr>
          <w:rFonts w:ascii="Calibri" w:eastAsia="Times New Roman" w:hAnsi="Calibri" w:cs="Calibri"/>
          <w:b/>
          <w:bCs/>
          <w:color w:val="000000"/>
          <w:lang w:eastAsia="en-IE"/>
        </w:rPr>
        <w:t>right to decide over my body</w:t>
      </w:r>
      <w:r w:rsidRPr="00C26924">
        <w:rPr>
          <w:rFonts w:ascii="Calibri" w:eastAsia="Times New Roman" w:hAnsi="Calibri" w:cs="Calibri"/>
          <w:color w:val="000000"/>
          <w:lang w:eastAsia="en-IE"/>
        </w:rPr>
        <w:t>;</w:t>
      </w:r>
    </w:p>
    <w:p w14:paraId="14977AF6" w14:textId="77777777" w:rsidR="00C26924" w:rsidRDefault="00C26924" w:rsidP="00C26924">
      <w:pPr>
        <w:pStyle w:val="ListParagraph"/>
        <w:numPr>
          <w:ilvl w:val="0"/>
          <w:numId w:val="14"/>
        </w:numPr>
        <w:spacing w:before="240" w:after="0" w:line="276" w:lineRule="auto"/>
        <w:jc w:val="both"/>
        <w:rPr>
          <w:rFonts w:ascii="Calibri" w:eastAsia="Times New Roman" w:hAnsi="Calibri" w:cs="Calibri"/>
          <w:color w:val="000000"/>
          <w:lang w:eastAsia="en-IE"/>
        </w:rPr>
      </w:pPr>
      <w:r w:rsidRPr="00C26924">
        <w:rPr>
          <w:rFonts w:ascii="Calibri" w:eastAsia="Times New Roman" w:hAnsi="Calibri" w:cs="Calibri"/>
          <w:color w:val="000000"/>
          <w:lang w:eastAsia="en-IE"/>
        </w:rPr>
        <w:t>The elimination of my other fundamental rights, including the </w:t>
      </w:r>
      <w:r w:rsidRPr="00C26924">
        <w:rPr>
          <w:rFonts w:ascii="Calibri" w:eastAsia="Times New Roman" w:hAnsi="Calibri" w:cs="Calibri"/>
          <w:b/>
          <w:bCs/>
          <w:color w:val="000000"/>
          <w:lang w:eastAsia="en-IE"/>
        </w:rPr>
        <w:t>right to free choice, right to consent, right to a dignified life</w:t>
      </w:r>
      <w:r w:rsidRPr="00C26924">
        <w:rPr>
          <w:rFonts w:ascii="Calibri" w:eastAsia="Times New Roman" w:hAnsi="Calibri" w:cs="Calibri"/>
          <w:color w:val="000000"/>
          <w:lang w:eastAsia="en-IE"/>
        </w:rPr>
        <w:t>;</w:t>
      </w:r>
    </w:p>
    <w:p w14:paraId="3DA945FC" w14:textId="33A9BB15" w:rsidR="00C26924" w:rsidRDefault="00C26924" w:rsidP="00C26924">
      <w:pPr>
        <w:pStyle w:val="ListParagraph"/>
        <w:numPr>
          <w:ilvl w:val="0"/>
          <w:numId w:val="14"/>
        </w:numPr>
        <w:spacing w:before="240" w:after="0" w:line="276" w:lineRule="auto"/>
        <w:jc w:val="both"/>
        <w:rPr>
          <w:rFonts w:ascii="Calibri" w:eastAsia="Times New Roman" w:hAnsi="Calibri" w:cs="Calibri"/>
          <w:color w:val="000000"/>
          <w:lang w:eastAsia="en-IE"/>
        </w:rPr>
      </w:pPr>
      <w:r w:rsidRPr="00C26924">
        <w:rPr>
          <w:rFonts w:ascii="Calibri" w:eastAsia="Times New Roman" w:hAnsi="Calibri" w:cs="Calibri"/>
          <w:color w:val="000000"/>
          <w:lang w:eastAsia="en-IE"/>
        </w:rPr>
        <w:t>The eradication </w:t>
      </w:r>
      <w:r w:rsidRPr="00C26924">
        <w:rPr>
          <w:rFonts w:ascii="Calibri" w:eastAsia="Times New Roman" w:hAnsi="Calibri" w:cs="Calibri"/>
          <w:b/>
          <w:bCs/>
          <w:color w:val="000000"/>
          <w:lang w:eastAsia="en-IE"/>
        </w:rPr>
        <w:t>Freedom of Movement within the European Union</w:t>
      </w:r>
      <w:r w:rsidRPr="00C26924">
        <w:rPr>
          <w:rFonts w:ascii="Calibri" w:eastAsia="Times New Roman" w:hAnsi="Calibri" w:cs="Calibri"/>
          <w:color w:val="000000"/>
          <w:lang w:eastAsia="en-IE"/>
        </w:rPr>
        <w:t>;</w:t>
      </w:r>
    </w:p>
    <w:p w14:paraId="2DA34333" w14:textId="1F874929" w:rsidR="00C26924" w:rsidRDefault="00C26924" w:rsidP="00C26924">
      <w:pPr>
        <w:spacing w:before="240"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 xml:space="preserve">coupled with the fact that the Regulation promotes discriminatory practises based on a person’s health status, I urge you to </w:t>
      </w:r>
      <w:r w:rsidRPr="00765DC0">
        <w:rPr>
          <w:rFonts w:ascii="Calibri" w:eastAsia="Times New Roman" w:hAnsi="Calibri" w:cs="Calibri"/>
          <w:b/>
          <w:bCs/>
          <w:color w:val="000000"/>
          <w:u w:val="single"/>
          <w:lang w:eastAsia="en-IE"/>
        </w:rPr>
        <w:t>VOTE NO</w:t>
      </w:r>
      <w:r>
        <w:rPr>
          <w:rFonts w:ascii="Calibri" w:eastAsia="Times New Roman" w:hAnsi="Calibri" w:cs="Calibri"/>
          <w:color w:val="000000"/>
          <w:lang w:eastAsia="en-IE"/>
        </w:rPr>
        <w:t xml:space="preserve"> on the 27/28 April 2021.</w:t>
      </w:r>
    </w:p>
    <w:p w14:paraId="029E6C14" w14:textId="77777777" w:rsidR="00C26924" w:rsidRPr="00C26924" w:rsidRDefault="00C26924" w:rsidP="00C26924">
      <w:pPr>
        <w:spacing w:before="240" w:after="0" w:line="276" w:lineRule="auto"/>
        <w:jc w:val="both"/>
        <w:rPr>
          <w:rFonts w:ascii="Calibri" w:eastAsia="Times New Roman" w:hAnsi="Calibri" w:cs="Calibri"/>
          <w:color w:val="000000"/>
          <w:lang w:eastAsia="en-IE"/>
        </w:rPr>
      </w:pPr>
    </w:p>
    <w:p w14:paraId="72E57283" w14:textId="768A80E0" w:rsidR="00765DC0" w:rsidRPr="00AF5C6A" w:rsidRDefault="006270B5" w:rsidP="00AF5C6A">
      <w:pPr>
        <w:spacing w:after="0" w:line="276" w:lineRule="auto"/>
        <w:jc w:val="both"/>
        <w:rPr>
          <w:rFonts w:ascii="Calibri" w:eastAsia="Times New Roman" w:hAnsi="Calibri" w:cs="Calibri"/>
          <w:color w:val="000000"/>
          <w:lang w:val="en-US" w:eastAsia="en-IE"/>
        </w:rPr>
      </w:pPr>
      <w:r w:rsidRPr="00AF5C6A">
        <w:rPr>
          <w:rFonts w:ascii="Calibri" w:eastAsia="Times New Roman" w:hAnsi="Calibri" w:cs="Calibri"/>
          <w:color w:val="000000"/>
          <w:lang w:val="en-US" w:eastAsia="en-IE"/>
        </w:rPr>
        <w:t xml:space="preserve">As representatives elected by the people, for the people, it is essential for </w:t>
      </w:r>
      <w:r w:rsidR="00765DC0" w:rsidRPr="00AF5C6A">
        <w:rPr>
          <w:rFonts w:ascii="Calibri" w:eastAsia="Times New Roman" w:hAnsi="Calibri" w:cs="Calibri"/>
          <w:color w:val="000000"/>
          <w:lang w:val="en-US" w:eastAsia="en-IE"/>
        </w:rPr>
        <w:t>MEP</w:t>
      </w:r>
      <w:r w:rsidRPr="00AF5C6A">
        <w:rPr>
          <w:rFonts w:ascii="Calibri" w:eastAsia="Times New Roman" w:hAnsi="Calibri" w:cs="Calibri"/>
          <w:color w:val="000000"/>
          <w:lang w:val="en-US" w:eastAsia="en-IE"/>
        </w:rPr>
        <w:t xml:space="preserve">s to maintain meaningful respect for fundamental rights and civil liberties, even when doing so presents challenges. </w:t>
      </w:r>
      <w:r w:rsidR="00765DC0" w:rsidRPr="00AF5C6A">
        <w:rPr>
          <w:rFonts w:ascii="Calibri" w:eastAsia="Times New Roman" w:hAnsi="Calibri" w:cs="Calibri"/>
          <w:color w:val="000000"/>
          <w:lang w:val="en-US" w:eastAsia="en-IE"/>
        </w:rPr>
        <w:t xml:space="preserve">For the avoidance of doubt, I confirm that when the next European or General Election takes place the paramount, decisive issue I will be concerned with is whether you voted for or against this Regulation. Not only will I not vote for any MEP who votes in </w:t>
      </w:r>
      <w:r w:rsidR="00C26924" w:rsidRPr="00AF5C6A">
        <w:rPr>
          <w:rFonts w:ascii="Calibri" w:eastAsia="Times New Roman" w:hAnsi="Calibri" w:cs="Calibri"/>
          <w:color w:val="000000"/>
          <w:lang w:val="en-US" w:eastAsia="en-IE"/>
        </w:rPr>
        <w:t>favor</w:t>
      </w:r>
      <w:r w:rsidR="00765DC0" w:rsidRPr="00AF5C6A">
        <w:rPr>
          <w:rFonts w:ascii="Calibri" w:eastAsia="Times New Roman" w:hAnsi="Calibri" w:cs="Calibri"/>
          <w:color w:val="000000"/>
          <w:lang w:val="en-US" w:eastAsia="en-IE"/>
        </w:rPr>
        <w:t xml:space="preserve"> of this </w:t>
      </w:r>
      <w:r w:rsidR="00C26924" w:rsidRPr="00AF5C6A">
        <w:rPr>
          <w:rFonts w:ascii="Calibri" w:eastAsia="Times New Roman" w:hAnsi="Calibri" w:cs="Calibri"/>
          <w:color w:val="000000"/>
          <w:lang w:val="en-US" w:eastAsia="en-IE"/>
        </w:rPr>
        <w:t>Regulation,</w:t>
      </w:r>
      <w:r w:rsidR="00765DC0" w:rsidRPr="00AF5C6A">
        <w:rPr>
          <w:rFonts w:ascii="Calibri" w:eastAsia="Times New Roman" w:hAnsi="Calibri" w:cs="Calibri"/>
          <w:color w:val="000000"/>
          <w:lang w:val="en-US" w:eastAsia="en-IE"/>
        </w:rPr>
        <w:t xml:space="preserve"> but I will </w:t>
      </w:r>
      <w:r w:rsidR="00765DC0" w:rsidRPr="00AF5C6A">
        <w:rPr>
          <w:rFonts w:ascii="Calibri" w:eastAsia="Times New Roman" w:hAnsi="Calibri" w:cs="Calibri"/>
          <w:b/>
          <w:bCs/>
          <w:color w:val="000000"/>
          <w:u w:val="single"/>
          <w:lang w:val="en-US" w:eastAsia="en-IE"/>
        </w:rPr>
        <w:t>relentlessly</w:t>
      </w:r>
      <w:r w:rsidR="00765DC0" w:rsidRPr="00AF5C6A">
        <w:rPr>
          <w:rFonts w:ascii="Calibri" w:eastAsia="Times New Roman" w:hAnsi="Calibri" w:cs="Calibri"/>
          <w:color w:val="000000"/>
          <w:lang w:val="en-US" w:eastAsia="en-IE"/>
        </w:rPr>
        <w:t xml:space="preserve"> canvass against them. </w:t>
      </w:r>
    </w:p>
    <w:p w14:paraId="4E016975" w14:textId="268EABDE" w:rsidR="00765DC0" w:rsidRDefault="00765DC0" w:rsidP="00AF5C6A">
      <w:pPr>
        <w:spacing w:before="240" w:after="0" w:line="276"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lang w:eastAsia="en-IE"/>
        </w:rPr>
        <w:t xml:space="preserve">I </w:t>
      </w:r>
      <w:r w:rsidR="007431CF" w:rsidRPr="007431CF">
        <w:rPr>
          <w:rFonts w:ascii="Calibri" w:eastAsia="Times New Roman" w:hAnsi="Calibri" w:cs="Calibri"/>
          <w:color w:val="000000"/>
          <w:lang w:eastAsia="en-IE"/>
        </w:rPr>
        <w:t>require a response to this letter</w:t>
      </w:r>
      <w:r>
        <w:rPr>
          <w:rFonts w:ascii="Calibri" w:eastAsia="Times New Roman" w:hAnsi="Calibri" w:cs="Calibri"/>
          <w:color w:val="000000"/>
          <w:lang w:eastAsia="en-IE"/>
        </w:rPr>
        <w:t>, which must include confirmation on how you intend to vote.</w:t>
      </w:r>
    </w:p>
    <w:p w14:paraId="74F6C088" w14:textId="2737803A" w:rsidR="007431CF" w:rsidRPr="007431CF" w:rsidRDefault="007431CF" w:rsidP="00AF5C6A">
      <w:pPr>
        <w:spacing w:before="240" w:after="0" w:line="276" w:lineRule="auto"/>
        <w:jc w:val="both"/>
        <w:rPr>
          <w:rFonts w:ascii="Times New Roman" w:eastAsia="Times New Roman" w:hAnsi="Times New Roman" w:cs="Times New Roman"/>
          <w:sz w:val="24"/>
          <w:szCs w:val="24"/>
          <w:lang w:eastAsia="en-IE"/>
        </w:rPr>
      </w:pPr>
      <w:r w:rsidRPr="007431CF">
        <w:rPr>
          <w:rFonts w:ascii="Calibri" w:eastAsia="Times New Roman" w:hAnsi="Calibri" w:cs="Calibri"/>
          <w:color w:val="000000"/>
          <w:lang w:eastAsia="en-IE"/>
        </w:rPr>
        <w:t>I await hearing from you and shall follow up upon this communication. </w:t>
      </w:r>
    </w:p>
    <w:p w14:paraId="394511E0" w14:textId="77777777" w:rsidR="007431CF" w:rsidRPr="007431CF" w:rsidRDefault="007431CF" w:rsidP="00AF5C6A">
      <w:pPr>
        <w:spacing w:before="240" w:after="0" w:line="276" w:lineRule="auto"/>
        <w:jc w:val="both"/>
        <w:rPr>
          <w:rFonts w:ascii="Times New Roman" w:eastAsia="Times New Roman" w:hAnsi="Times New Roman" w:cs="Times New Roman"/>
          <w:sz w:val="24"/>
          <w:szCs w:val="24"/>
          <w:lang w:eastAsia="en-IE"/>
        </w:rPr>
      </w:pPr>
      <w:r w:rsidRPr="007431CF">
        <w:rPr>
          <w:rFonts w:ascii="Calibri" w:eastAsia="Times New Roman" w:hAnsi="Calibri" w:cs="Calibri"/>
          <w:color w:val="000000"/>
          <w:lang w:eastAsia="en-IE"/>
        </w:rPr>
        <w:t>Yours Sincerely</w:t>
      </w:r>
    </w:p>
    <w:p w14:paraId="29CB8A94" w14:textId="77777777" w:rsidR="007431CF" w:rsidRPr="007431CF" w:rsidRDefault="007431CF" w:rsidP="007431CF">
      <w:pPr>
        <w:spacing w:before="240" w:after="0" w:line="360" w:lineRule="auto"/>
        <w:jc w:val="both"/>
        <w:rPr>
          <w:rFonts w:ascii="Times New Roman" w:eastAsia="Times New Roman" w:hAnsi="Times New Roman" w:cs="Times New Roman"/>
          <w:sz w:val="24"/>
          <w:szCs w:val="24"/>
          <w:lang w:eastAsia="en-IE"/>
        </w:rPr>
      </w:pPr>
      <w:r w:rsidRPr="007431CF">
        <w:rPr>
          <w:rFonts w:ascii="Calibri" w:eastAsia="Times New Roman" w:hAnsi="Calibri" w:cs="Calibri"/>
          <w:color w:val="000000"/>
          <w:lang w:eastAsia="en-IE"/>
        </w:rPr>
        <w:lastRenderedPageBreak/>
        <w:t> </w:t>
      </w:r>
    </w:p>
    <w:p w14:paraId="1BDE3D36" w14:textId="0AD533BA" w:rsidR="007431CF" w:rsidRPr="00C26924" w:rsidRDefault="00C26924" w:rsidP="00C26924">
      <w:pPr>
        <w:spacing w:before="240" w:after="0" w:line="360" w:lineRule="auto"/>
        <w:jc w:val="both"/>
        <w:rPr>
          <w:rFonts w:ascii="Calibri" w:eastAsia="Times New Roman" w:hAnsi="Calibri" w:cs="Calibri"/>
          <w:color w:val="000000"/>
          <w:lang w:eastAsia="en-IE"/>
        </w:rPr>
      </w:pPr>
      <w:r>
        <w:rPr>
          <w:rFonts w:ascii="Calibri" w:eastAsia="Times New Roman" w:hAnsi="Calibri" w:cs="Calibri"/>
          <w:color w:val="000000"/>
          <w:lang w:eastAsia="en-IE"/>
        </w:rPr>
        <w:t>__________________________</w:t>
      </w:r>
      <w:r>
        <w:rPr>
          <w:rFonts w:ascii="Calibri" w:eastAsia="Times New Roman" w:hAnsi="Calibri" w:cs="Calibri"/>
          <w:color w:val="000000"/>
          <w:lang w:eastAsia="en-IE"/>
        </w:rPr>
        <w:br/>
      </w:r>
      <w:r w:rsidRPr="00C26924">
        <w:rPr>
          <w:rFonts w:ascii="Calibri" w:eastAsia="Times New Roman" w:hAnsi="Calibri" w:cs="Calibri"/>
          <w:color w:val="000000"/>
          <w:highlight w:val="yellow"/>
          <w:lang w:eastAsia="en-IE"/>
        </w:rPr>
        <w:t>IN</w:t>
      </w:r>
      <w:r w:rsidRPr="00C26924">
        <w:rPr>
          <w:highlight w:val="yellow"/>
        </w:rPr>
        <w:t>SERT YOUR NAME HERE</w:t>
      </w:r>
    </w:p>
    <w:p w14:paraId="00218491" w14:textId="77777777" w:rsidR="007431CF" w:rsidRDefault="007431CF" w:rsidP="00D15D2F">
      <w:pPr>
        <w:spacing w:after="0" w:line="360" w:lineRule="auto"/>
        <w:jc w:val="both"/>
      </w:pPr>
    </w:p>
    <w:p w14:paraId="3D11FE08" w14:textId="77777777" w:rsidR="00D15D2F" w:rsidRDefault="00D15D2F" w:rsidP="00D15D2F">
      <w:pPr>
        <w:spacing w:after="0" w:line="360" w:lineRule="auto"/>
        <w:jc w:val="both"/>
      </w:pPr>
    </w:p>
    <w:p w14:paraId="0C3C9D7E" w14:textId="1387E722" w:rsidR="001E3FF4" w:rsidRDefault="00B35712" w:rsidP="00CA1199">
      <w:pPr>
        <w:spacing w:after="0" w:line="360" w:lineRule="auto"/>
      </w:pPr>
    </w:p>
    <w:sectPr w:rsidR="001E3F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ECAB" w14:textId="77777777" w:rsidR="00B35712" w:rsidRDefault="00B35712" w:rsidP="006270B5">
      <w:pPr>
        <w:spacing w:after="0" w:line="240" w:lineRule="auto"/>
      </w:pPr>
      <w:r>
        <w:separator/>
      </w:r>
    </w:p>
  </w:endnote>
  <w:endnote w:type="continuationSeparator" w:id="0">
    <w:p w14:paraId="474CA458" w14:textId="77777777" w:rsidR="00B35712" w:rsidRDefault="00B35712" w:rsidP="00627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3B9A" w14:textId="77777777" w:rsidR="00B35712" w:rsidRDefault="00B35712" w:rsidP="006270B5">
      <w:pPr>
        <w:spacing w:after="0" w:line="240" w:lineRule="auto"/>
      </w:pPr>
      <w:r>
        <w:separator/>
      </w:r>
    </w:p>
  </w:footnote>
  <w:footnote w:type="continuationSeparator" w:id="0">
    <w:p w14:paraId="49B75133" w14:textId="77777777" w:rsidR="00B35712" w:rsidRDefault="00B35712" w:rsidP="00627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D7E"/>
    <w:multiLevelType w:val="hybridMultilevel"/>
    <w:tmpl w:val="998C2D28"/>
    <w:lvl w:ilvl="0" w:tplc="66F662C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F61AD7"/>
    <w:multiLevelType w:val="hybridMultilevel"/>
    <w:tmpl w:val="311EB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2A5929"/>
    <w:multiLevelType w:val="hybridMultilevel"/>
    <w:tmpl w:val="A0184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0700BA"/>
    <w:multiLevelType w:val="multilevel"/>
    <w:tmpl w:val="3FBE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11DA3"/>
    <w:multiLevelType w:val="multilevel"/>
    <w:tmpl w:val="6158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A1310"/>
    <w:multiLevelType w:val="hybridMultilevel"/>
    <w:tmpl w:val="2110CE28"/>
    <w:lvl w:ilvl="0" w:tplc="D24A1CE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9D6D84"/>
    <w:multiLevelType w:val="hybridMultilevel"/>
    <w:tmpl w:val="3C8AC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88D5F37"/>
    <w:multiLevelType w:val="multilevel"/>
    <w:tmpl w:val="0A34F1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5C3D509E"/>
    <w:multiLevelType w:val="hybridMultilevel"/>
    <w:tmpl w:val="12826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85C558C"/>
    <w:multiLevelType w:val="hybridMultilevel"/>
    <w:tmpl w:val="894EDF78"/>
    <w:lvl w:ilvl="0" w:tplc="93D8590E">
      <w:start w:val="1"/>
      <w:numFmt w:val="decimal"/>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45D5657"/>
    <w:multiLevelType w:val="multilevel"/>
    <w:tmpl w:val="3FF4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F946B2"/>
    <w:multiLevelType w:val="multilevel"/>
    <w:tmpl w:val="DAD4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B07E1C"/>
    <w:multiLevelType w:val="multilevel"/>
    <w:tmpl w:val="333863A2"/>
    <w:lvl w:ilvl="0">
      <w:start w:val="1"/>
      <w:numFmt w:val="decimal"/>
      <w:lvlText w:val="%1."/>
      <w:lvlJc w:val="left"/>
      <w:pPr>
        <w:tabs>
          <w:tab w:val="num" w:pos="720"/>
        </w:tabs>
        <w:ind w:left="720" w:hanging="360"/>
      </w:pPr>
      <w:rPr>
        <w:rFonts w:ascii="Calibri" w:eastAsia="Times New Roman" w:hAnsi="Calibri" w:cs="Calibri"/>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BA01F6"/>
    <w:multiLevelType w:val="hybridMultilevel"/>
    <w:tmpl w:val="E064EB74"/>
    <w:lvl w:ilvl="0" w:tplc="D24A1CE0">
      <w:start w:val="1"/>
      <w:numFmt w:val="bullet"/>
      <w:lvlText w:val=""/>
      <w:lvlJc w:val="left"/>
      <w:pPr>
        <w:ind w:left="720" w:hanging="360"/>
      </w:pPr>
      <w:rPr>
        <w:rFonts w:ascii="Symbol" w:hAnsi="Symbol" w:hint="default"/>
      </w:rPr>
    </w:lvl>
    <w:lvl w:ilvl="1" w:tplc="5F7A2BBE">
      <w:start w:val="2"/>
      <w:numFmt w:val="bullet"/>
      <w:lvlText w:val="-"/>
      <w:lvlJc w:val="left"/>
      <w:pPr>
        <w:ind w:left="1440" w:hanging="360"/>
      </w:pPr>
      <w:rPr>
        <w:rFonts w:ascii="Arial" w:eastAsia="Arial"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13"/>
  </w:num>
  <w:num w:numId="5">
    <w:abstractNumId w:val="5"/>
  </w:num>
  <w:num w:numId="6">
    <w:abstractNumId w:val="10"/>
  </w:num>
  <w:num w:numId="7">
    <w:abstractNumId w:val="12"/>
  </w:num>
  <w:num w:numId="8">
    <w:abstractNumId w:val="4"/>
  </w:num>
  <w:num w:numId="9">
    <w:abstractNumId w:val="11"/>
  </w:num>
  <w:num w:numId="10">
    <w:abstractNumId w:val="6"/>
  </w:num>
  <w:num w:numId="11">
    <w:abstractNumId w:val="1"/>
  </w:num>
  <w:num w:numId="12">
    <w:abstractNumId w:val="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23"/>
    <w:rsid w:val="000319CB"/>
    <w:rsid w:val="000F7B54"/>
    <w:rsid w:val="001315B5"/>
    <w:rsid w:val="00163F5C"/>
    <w:rsid w:val="00181668"/>
    <w:rsid w:val="001E1E4D"/>
    <w:rsid w:val="002138E2"/>
    <w:rsid w:val="00215972"/>
    <w:rsid w:val="00230093"/>
    <w:rsid w:val="00317935"/>
    <w:rsid w:val="00384D35"/>
    <w:rsid w:val="00392CB6"/>
    <w:rsid w:val="004A62E7"/>
    <w:rsid w:val="00623FD5"/>
    <w:rsid w:val="006270B5"/>
    <w:rsid w:val="0065745A"/>
    <w:rsid w:val="006C44AC"/>
    <w:rsid w:val="006D2A16"/>
    <w:rsid w:val="007431CF"/>
    <w:rsid w:val="00765DC0"/>
    <w:rsid w:val="00820E25"/>
    <w:rsid w:val="00830FAB"/>
    <w:rsid w:val="008E00C3"/>
    <w:rsid w:val="00937398"/>
    <w:rsid w:val="009A4F96"/>
    <w:rsid w:val="009C0DAB"/>
    <w:rsid w:val="009F3FDD"/>
    <w:rsid w:val="00A96223"/>
    <w:rsid w:val="00AF5C6A"/>
    <w:rsid w:val="00B35712"/>
    <w:rsid w:val="00B73F0E"/>
    <w:rsid w:val="00B82565"/>
    <w:rsid w:val="00B84DD1"/>
    <w:rsid w:val="00BD565D"/>
    <w:rsid w:val="00C26924"/>
    <w:rsid w:val="00C51F7C"/>
    <w:rsid w:val="00C615FE"/>
    <w:rsid w:val="00CA1199"/>
    <w:rsid w:val="00D15D2F"/>
    <w:rsid w:val="00D302EB"/>
    <w:rsid w:val="00E765ED"/>
    <w:rsid w:val="00FE2B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74CD"/>
  <w15:chartTrackingRefBased/>
  <w15:docId w15:val="{6DF02AF9-0B0C-4430-B416-12AF0B6C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565"/>
    <w:pPr>
      <w:ind w:left="720"/>
      <w:contextualSpacing/>
    </w:pPr>
  </w:style>
  <w:style w:type="table" w:styleId="TableGrid">
    <w:name w:val="Table Grid"/>
    <w:basedOn w:val="TableNormal"/>
    <w:uiPriority w:val="39"/>
    <w:rsid w:val="0018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7398"/>
    <w:rPr>
      <w:color w:val="0563C1" w:themeColor="hyperlink"/>
      <w:u w:val="single"/>
    </w:rPr>
  </w:style>
  <w:style w:type="character" w:styleId="UnresolvedMention">
    <w:name w:val="Unresolved Mention"/>
    <w:basedOn w:val="DefaultParagraphFont"/>
    <w:uiPriority w:val="99"/>
    <w:semiHidden/>
    <w:unhideWhenUsed/>
    <w:rsid w:val="00937398"/>
    <w:rPr>
      <w:color w:val="605E5C"/>
      <w:shd w:val="clear" w:color="auto" w:fill="E1DFDD"/>
    </w:rPr>
  </w:style>
  <w:style w:type="paragraph" w:styleId="FootnoteText">
    <w:name w:val="footnote text"/>
    <w:basedOn w:val="Normal"/>
    <w:link w:val="FootnoteTextChar"/>
    <w:uiPriority w:val="99"/>
    <w:semiHidden/>
    <w:unhideWhenUsed/>
    <w:rsid w:val="006270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0B5"/>
    <w:rPr>
      <w:sz w:val="20"/>
      <w:szCs w:val="20"/>
    </w:rPr>
  </w:style>
  <w:style w:type="character" w:styleId="FootnoteReference">
    <w:name w:val="footnote reference"/>
    <w:basedOn w:val="DefaultParagraphFont"/>
    <w:uiPriority w:val="99"/>
    <w:semiHidden/>
    <w:unhideWhenUsed/>
    <w:rsid w:val="006270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7908">
      <w:bodyDiv w:val="1"/>
      <w:marLeft w:val="0"/>
      <w:marRight w:val="0"/>
      <w:marTop w:val="0"/>
      <w:marBottom w:val="0"/>
      <w:divBdr>
        <w:top w:val="none" w:sz="0" w:space="0" w:color="auto"/>
        <w:left w:val="none" w:sz="0" w:space="0" w:color="auto"/>
        <w:bottom w:val="none" w:sz="0" w:space="0" w:color="auto"/>
        <w:right w:val="none" w:sz="0" w:space="0" w:color="auto"/>
      </w:divBdr>
    </w:div>
    <w:div w:id="1548642701">
      <w:bodyDiv w:val="1"/>
      <w:marLeft w:val="0"/>
      <w:marRight w:val="0"/>
      <w:marTop w:val="0"/>
      <w:marBottom w:val="0"/>
      <w:divBdr>
        <w:top w:val="none" w:sz="0" w:space="0" w:color="auto"/>
        <w:left w:val="none" w:sz="0" w:space="0" w:color="auto"/>
        <w:bottom w:val="none" w:sz="0" w:space="0" w:color="auto"/>
        <w:right w:val="none" w:sz="0" w:space="0" w:color="auto"/>
      </w:divBdr>
      <w:divsChild>
        <w:div w:id="1990549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rxiv.org/content/10.1101/2020.08.04.20167932v4" TargetMode="External"/><Relationship Id="rId13" Type="http://schemas.openxmlformats.org/officeDocument/2006/relationships/hyperlink" Target="https://www.medrxiv.org/content/10.1101/2020.08.04.20167932v4" TargetMode="External"/><Relationship Id="rId18" Type="http://schemas.openxmlformats.org/officeDocument/2006/relationships/hyperlink" Target="https://eur-lex.europa.eu/legal-content/EN/TXT/?qid=1602583951529&amp;uri=CELEX%25253A52020DC05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ndata.org/a-miscarriage-of-diagnosis/" TargetMode="External"/><Relationship Id="rId17" Type="http://schemas.openxmlformats.org/officeDocument/2006/relationships/hyperlink" Target="https://pace.coe.int/en/files/12463/html" TargetMode="External"/><Relationship Id="rId2" Type="http://schemas.openxmlformats.org/officeDocument/2006/relationships/numbering" Target="numbering.xml"/><Relationship Id="rId16" Type="http://schemas.openxmlformats.org/officeDocument/2006/relationships/hyperlink" Target="https://www.who.int/news/item/20-01-2021-who-information-notice-for-ivd-users-2020-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mandrostenreview.com/report/" TargetMode="External"/><Relationship Id="rId5" Type="http://schemas.openxmlformats.org/officeDocument/2006/relationships/webSettings" Target="webSettings.xml"/><Relationship Id="rId15" Type="http://schemas.openxmlformats.org/officeDocument/2006/relationships/hyperlink" Target="https://cormandrostenreview.com/report/" TargetMode="External"/><Relationship Id="rId10" Type="http://schemas.openxmlformats.org/officeDocument/2006/relationships/hyperlink" Target="https://www.pandata.org/a-miscarriage-of-diagnos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drxiv.org/content/10.1101/2020.08.04.20167932v4" TargetMode="External"/><Relationship Id="rId14" Type="http://schemas.openxmlformats.org/officeDocument/2006/relationships/hyperlink" Target="https://www.eurosurveillance.org/content/10.2807/1560-7917.ES.2020.25.3.2000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62388-C03B-45DE-A61D-F1B102DF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Mullally</dc:creator>
  <cp:keywords/>
  <dc:description/>
  <cp:lastModifiedBy>Tracey O'Mahony</cp:lastModifiedBy>
  <cp:revision>3</cp:revision>
  <dcterms:created xsi:type="dcterms:W3CDTF">2021-04-20T15:30:00Z</dcterms:created>
  <dcterms:modified xsi:type="dcterms:W3CDTF">2021-04-20T15:46:00Z</dcterms:modified>
</cp:coreProperties>
</file>